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60A9E" w14:textId="55E4C582" w:rsidR="00C4369A" w:rsidRDefault="00C4369A" w:rsidP="00683FDA"/>
    <w:tbl>
      <w:tblPr>
        <w:tblW w:w="8642" w:type="dxa"/>
        <w:tblLook w:val="04A0" w:firstRow="1" w:lastRow="0" w:firstColumn="1" w:lastColumn="0" w:noHBand="0" w:noVBand="1"/>
      </w:tblPr>
      <w:tblGrid>
        <w:gridCol w:w="8028"/>
        <w:gridCol w:w="222"/>
        <w:gridCol w:w="222"/>
        <w:gridCol w:w="222"/>
        <w:gridCol w:w="222"/>
        <w:gridCol w:w="222"/>
        <w:gridCol w:w="222"/>
      </w:tblGrid>
      <w:tr w:rsidR="00C4369A" w:rsidRPr="00C4369A" w14:paraId="5E586B43" w14:textId="77777777" w:rsidTr="00C4369A">
        <w:trPr>
          <w:trHeight w:val="645"/>
        </w:trPr>
        <w:tc>
          <w:tcPr>
            <w:tcW w:w="8642" w:type="dxa"/>
            <w:gridSpan w:val="7"/>
            <w:tcBorders>
              <w:top w:val="nil"/>
              <w:left w:val="nil"/>
              <w:bottom w:val="nil"/>
              <w:right w:val="nil"/>
            </w:tcBorders>
            <w:shd w:val="clear" w:color="auto" w:fill="auto"/>
            <w:noWrap/>
            <w:hideMark/>
          </w:tcPr>
          <w:p w14:paraId="7E495540" w14:textId="77777777" w:rsidR="00C4369A" w:rsidRPr="00C4369A" w:rsidRDefault="00C4369A" w:rsidP="00C4369A">
            <w:pPr>
              <w:jc w:val="center"/>
              <w:rPr>
                <w:rFonts w:ascii="Garamond" w:eastAsia="Times New Roman" w:hAnsi="Garamond" w:cs="Calibri"/>
                <w:b/>
                <w:bCs/>
                <w:i/>
                <w:iCs/>
                <w:sz w:val="49"/>
                <w:szCs w:val="49"/>
              </w:rPr>
            </w:pPr>
            <w:r w:rsidRPr="00C4369A">
              <w:rPr>
                <w:rFonts w:ascii="Garamond" w:eastAsia="Times New Roman" w:hAnsi="Garamond" w:cs="Calibri"/>
                <w:b/>
                <w:bCs/>
                <w:i/>
                <w:iCs/>
                <w:sz w:val="49"/>
                <w:szCs w:val="49"/>
              </w:rPr>
              <w:t>Lake Clarke Gardens Condominium, Inc.</w:t>
            </w:r>
          </w:p>
        </w:tc>
      </w:tr>
      <w:tr w:rsidR="00C4369A" w:rsidRPr="00C4369A" w14:paraId="116A6DF9" w14:textId="77777777" w:rsidTr="00C4369A">
        <w:trPr>
          <w:trHeight w:val="300"/>
        </w:trPr>
        <w:tc>
          <w:tcPr>
            <w:tcW w:w="8048" w:type="dxa"/>
            <w:tcBorders>
              <w:top w:val="nil"/>
              <w:left w:val="nil"/>
              <w:bottom w:val="nil"/>
              <w:right w:val="nil"/>
            </w:tcBorders>
            <w:shd w:val="clear" w:color="auto" w:fill="auto"/>
            <w:noWrap/>
            <w:hideMark/>
          </w:tcPr>
          <w:p w14:paraId="0117E2A7" w14:textId="77777777" w:rsidR="00C4369A" w:rsidRPr="00C4369A" w:rsidRDefault="00C4369A" w:rsidP="004D16E5">
            <w:pPr>
              <w:jc w:val="center"/>
              <w:rPr>
                <w:rFonts w:ascii="Garamond" w:eastAsia="Times New Roman" w:hAnsi="Garamond" w:cs="Calibri"/>
                <w:i/>
                <w:iCs/>
                <w:sz w:val="23"/>
                <w:szCs w:val="23"/>
              </w:rPr>
            </w:pPr>
            <w:r w:rsidRPr="00C4369A">
              <w:rPr>
                <w:rFonts w:ascii="Garamond" w:eastAsia="Times New Roman" w:hAnsi="Garamond" w:cs="Calibri"/>
                <w:i/>
                <w:iCs/>
                <w:sz w:val="23"/>
                <w:szCs w:val="23"/>
              </w:rPr>
              <w:t>An Adult Condominium Community</w:t>
            </w:r>
          </w:p>
        </w:tc>
        <w:tc>
          <w:tcPr>
            <w:tcW w:w="99" w:type="dxa"/>
            <w:tcBorders>
              <w:top w:val="nil"/>
              <w:left w:val="nil"/>
              <w:bottom w:val="nil"/>
              <w:right w:val="nil"/>
            </w:tcBorders>
            <w:shd w:val="clear" w:color="auto" w:fill="auto"/>
            <w:noWrap/>
            <w:vAlign w:val="bottom"/>
            <w:hideMark/>
          </w:tcPr>
          <w:p w14:paraId="0C5ED712" w14:textId="77777777" w:rsidR="00C4369A" w:rsidRPr="00C4369A" w:rsidRDefault="00C4369A" w:rsidP="00C4369A">
            <w:pPr>
              <w:jc w:val="center"/>
              <w:rPr>
                <w:rFonts w:ascii="Garamond" w:eastAsia="Times New Roman" w:hAnsi="Garamond" w:cs="Calibri"/>
                <w:i/>
                <w:iCs/>
                <w:sz w:val="23"/>
                <w:szCs w:val="23"/>
              </w:rPr>
            </w:pPr>
          </w:p>
        </w:tc>
        <w:tc>
          <w:tcPr>
            <w:tcW w:w="99" w:type="dxa"/>
            <w:tcBorders>
              <w:top w:val="nil"/>
              <w:left w:val="nil"/>
              <w:bottom w:val="nil"/>
              <w:right w:val="nil"/>
            </w:tcBorders>
            <w:shd w:val="clear" w:color="auto" w:fill="auto"/>
            <w:noWrap/>
            <w:vAlign w:val="bottom"/>
            <w:hideMark/>
          </w:tcPr>
          <w:p w14:paraId="2D6D7C12" w14:textId="77777777" w:rsidR="00C4369A" w:rsidRPr="00C4369A" w:rsidRDefault="00C4369A" w:rsidP="00C4369A">
            <w:pPr>
              <w:jc w:val="center"/>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14:paraId="5C3D9C29" w14:textId="77777777" w:rsidR="00C4369A" w:rsidRPr="00C4369A" w:rsidRDefault="00C4369A" w:rsidP="00C4369A">
            <w:pPr>
              <w:jc w:val="center"/>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14:paraId="429CBC61" w14:textId="77777777" w:rsidR="00C4369A" w:rsidRPr="00C4369A" w:rsidRDefault="00C4369A" w:rsidP="00C4369A">
            <w:pPr>
              <w:jc w:val="center"/>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14:paraId="11F3B18E" w14:textId="77777777" w:rsidR="00C4369A" w:rsidRPr="00C4369A" w:rsidRDefault="00C4369A" w:rsidP="00C4369A">
            <w:pPr>
              <w:jc w:val="center"/>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14:paraId="4CEF3FAB" w14:textId="77777777" w:rsidR="00C4369A" w:rsidRPr="00C4369A" w:rsidRDefault="00C4369A" w:rsidP="00C4369A">
            <w:pPr>
              <w:rPr>
                <w:rFonts w:ascii="Times New Roman" w:eastAsia="Times New Roman" w:hAnsi="Times New Roman" w:cs="Times New Roman"/>
                <w:sz w:val="20"/>
                <w:szCs w:val="20"/>
              </w:rPr>
            </w:pPr>
          </w:p>
        </w:tc>
      </w:tr>
      <w:tr w:rsidR="00C4369A" w:rsidRPr="00C4369A" w14:paraId="70FCE060" w14:textId="77777777" w:rsidTr="00C4369A">
        <w:trPr>
          <w:trHeight w:val="300"/>
        </w:trPr>
        <w:tc>
          <w:tcPr>
            <w:tcW w:w="8345" w:type="dxa"/>
            <w:gridSpan w:val="4"/>
            <w:tcBorders>
              <w:top w:val="nil"/>
              <w:left w:val="nil"/>
              <w:bottom w:val="nil"/>
              <w:right w:val="nil"/>
            </w:tcBorders>
            <w:shd w:val="clear" w:color="auto" w:fill="auto"/>
            <w:noWrap/>
            <w:hideMark/>
          </w:tcPr>
          <w:p w14:paraId="3B099DAF" w14:textId="77777777" w:rsidR="00C4369A" w:rsidRPr="00C4369A" w:rsidRDefault="00C4369A" w:rsidP="00C4369A">
            <w:pPr>
              <w:jc w:val="center"/>
              <w:rPr>
                <w:rFonts w:ascii="Garamond" w:eastAsia="Times New Roman" w:hAnsi="Garamond" w:cs="Calibri"/>
                <w:sz w:val="19"/>
                <w:szCs w:val="19"/>
              </w:rPr>
            </w:pPr>
            <w:r w:rsidRPr="00C4369A">
              <w:rPr>
                <w:rFonts w:ascii="Garamond" w:eastAsia="Times New Roman" w:hAnsi="Garamond" w:cs="Calibri"/>
                <w:sz w:val="19"/>
                <w:szCs w:val="19"/>
              </w:rPr>
              <w:t>2981 FLORIDA MANGO ROAD LAKE WORTH, FLORIDA 33461</w:t>
            </w:r>
          </w:p>
        </w:tc>
        <w:tc>
          <w:tcPr>
            <w:tcW w:w="99" w:type="dxa"/>
            <w:tcBorders>
              <w:top w:val="nil"/>
              <w:left w:val="nil"/>
              <w:bottom w:val="nil"/>
              <w:right w:val="nil"/>
            </w:tcBorders>
            <w:shd w:val="clear" w:color="auto" w:fill="auto"/>
            <w:noWrap/>
            <w:vAlign w:val="bottom"/>
            <w:hideMark/>
          </w:tcPr>
          <w:p w14:paraId="7AF30D33" w14:textId="77777777" w:rsidR="00C4369A" w:rsidRPr="00C4369A" w:rsidRDefault="00C4369A" w:rsidP="00C4369A">
            <w:pPr>
              <w:jc w:val="center"/>
              <w:rPr>
                <w:rFonts w:ascii="Garamond" w:eastAsia="Times New Roman" w:hAnsi="Garamond" w:cs="Calibri"/>
                <w:sz w:val="19"/>
                <w:szCs w:val="19"/>
              </w:rPr>
            </w:pPr>
          </w:p>
        </w:tc>
        <w:tc>
          <w:tcPr>
            <w:tcW w:w="99" w:type="dxa"/>
            <w:tcBorders>
              <w:top w:val="nil"/>
              <w:left w:val="nil"/>
              <w:bottom w:val="nil"/>
              <w:right w:val="nil"/>
            </w:tcBorders>
            <w:shd w:val="clear" w:color="auto" w:fill="auto"/>
            <w:noWrap/>
            <w:vAlign w:val="bottom"/>
            <w:hideMark/>
          </w:tcPr>
          <w:p w14:paraId="594E5A6E" w14:textId="77777777" w:rsidR="00C4369A" w:rsidRPr="00C4369A" w:rsidRDefault="00C4369A" w:rsidP="00C4369A">
            <w:pPr>
              <w:jc w:val="center"/>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14:paraId="2DF0265F" w14:textId="77777777" w:rsidR="00C4369A" w:rsidRPr="00C4369A" w:rsidRDefault="00C4369A" w:rsidP="00C4369A">
            <w:pPr>
              <w:rPr>
                <w:rFonts w:ascii="Times New Roman" w:eastAsia="Times New Roman" w:hAnsi="Times New Roman" w:cs="Times New Roman"/>
                <w:sz w:val="20"/>
                <w:szCs w:val="20"/>
              </w:rPr>
            </w:pPr>
          </w:p>
        </w:tc>
      </w:tr>
      <w:tr w:rsidR="00C4369A" w:rsidRPr="00C4369A" w14:paraId="5CE8467B" w14:textId="77777777" w:rsidTr="00C4369A">
        <w:trPr>
          <w:trHeight w:val="300"/>
        </w:trPr>
        <w:tc>
          <w:tcPr>
            <w:tcW w:w="8543" w:type="dxa"/>
            <w:gridSpan w:val="6"/>
            <w:tcBorders>
              <w:top w:val="nil"/>
              <w:left w:val="nil"/>
              <w:bottom w:val="nil"/>
              <w:right w:val="nil"/>
            </w:tcBorders>
            <w:shd w:val="clear" w:color="auto" w:fill="auto"/>
            <w:noWrap/>
            <w:hideMark/>
          </w:tcPr>
          <w:p w14:paraId="3038C939" w14:textId="77777777" w:rsidR="00C4369A" w:rsidRPr="00C4369A" w:rsidRDefault="00C4369A" w:rsidP="00C4369A">
            <w:pPr>
              <w:jc w:val="center"/>
              <w:rPr>
                <w:rFonts w:ascii="Garamond" w:eastAsia="Times New Roman" w:hAnsi="Garamond" w:cs="Calibri"/>
                <w:sz w:val="19"/>
                <w:szCs w:val="19"/>
              </w:rPr>
            </w:pPr>
            <w:r w:rsidRPr="00C4369A">
              <w:rPr>
                <w:rFonts w:ascii="Garamond" w:eastAsia="Times New Roman" w:hAnsi="Garamond" w:cs="Calibri"/>
                <w:sz w:val="19"/>
                <w:szCs w:val="19"/>
              </w:rPr>
              <w:t>GENERAL OFFICE: 561-965-8487 SOCIAL DIRECTOR: 561-965-6221 FAX: 561-965-0986</w:t>
            </w:r>
          </w:p>
        </w:tc>
        <w:tc>
          <w:tcPr>
            <w:tcW w:w="99" w:type="dxa"/>
            <w:tcBorders>
              <w:top w:val="nil"/>
              <w:left w:val="nil"/>
              <w:bottom w:val="nil"/>
              <w:right w:val="nil"/>
            </w:tcBorders>
            <w:shd w:val="clear" w:color="auto" w:fill="auto"/>
            <w:noWrap/>
            <w:vAlign w:val="bottom"/>
            <w:hideMark/>
          </w:tcPr>
          <w:p w14:paraId="0D8C5D69" w14:textId="77777777" w:rsidR="00C4369A" w:rsidRPr="00C4369A" w:rsidRDefault="00C4369A" w:rsidP="00C4369A">
            <w:pPr>
              <w:rPr>
                <w:rFonts w:ascii="Garamond" w:eastAsia="Times New Roman" w:hAnsi="Garamond" w:cs="Calibri"/>
                <w:sz w:val="19"/>
                <w:szCs w:val="19"/>
              </w:rPr>
            </w:pPr>
          </w:p>
        </w:tc>
      </w:tr>
    </w:tbl>
    <w:p w14:paraId="1D84302C" w14:textId="1ADF88D6" w:rsidR="00C4369A" w:rsidRDefault="00C4369A" w:rsidP="00683FDA"/>
    <w:p w14:paraId="3E75E061" w14:textId="33B7C46F" w:rsidR="00C4369A" w:rsidRDefault="00C4369A" w:rsidP="00683FDA"/>
    <w:p w14:paraId="4E485A63" w14:textId="77777777" w:rsidR="00C4369A" w:rsidRDefault="00C4369A" w:rsidP="00683FDA"/>
    <w:p w14:paraId="4F7FE7C3" w14:textId="2B2AD5DB" w:rsidR="00683FDA" w:rsidRPr="00D62EE5" w:rsidRDefault="00683FDA" w:rsidP="004D16E5">
      <w:pPr>
        <w:jc w:val="center"/>
        <w:rPr>
          <w:b/>
          <w:bCs/>
          <w:sz w:val="32"/>
          <w:szCs w:val="32"/>
          <w:u w:val="single"/>
        </w:rPr>
      </w:pPr>
      <w:r w:rsidRPr="004D16E5">
        <w:rPr>
          <w:b/>
          <w:bCs/>
          <w:sz w:val="32"/>
          <w:szCs w:val="32"/>
        </w:rPr>
        <w:t>Guidelines for Elections</w:t>
      </w:r>
      <w:r w:rsidR="00600FF9">
        <w:rPr>
          <w:b/>
          <w:bCs/>
          <w:sz w:val="32"/>
          <w:szCs w:val="32"/>
        </w:rPr>
        <w:t xml:space="preserve"> </w:t>
      </w:r>
      <w:r w:rsidR="00600FF9" w:rsidRPr="00D62EE5">
        <w:rPr>
          <w:b/>
          <w:bCs/>
          <w:sz w:val="32"/>
          <w:szCs w:val="32"/>
          <w:u w:val="single"/>
        </w:rPr>
        <w:t>with</w:t>
      </w:r>
    </w:p>
    <w:p w14:paraId="255AF8C5" w14:textId="32C556BF" w:rsidR="00600FF9" w:rsidRPr="00D62EE5" w:rsidRDefault="00F96D6F" w:rsidP="004D16E5">
      <w:pPr>
        <w:jc w:val="center"/>
        <w:rPr>
          <w:b/>
          <w:bCs/>
          <w:sz w:val="32"/>
          <w:szCs w:val="32"/>
          <w:u w:val="single"/>
        </w:rPr>
      </w:pPr>
      <w:r>
        <w:rPr>
          <w:b/>
          <w:bCs/>
          <w:sz w:val="32"/>
          <w:szCs w:val="32"/>
          <w:u w:val="single"/>
        </w:rPr>
        <w:t xml:space="preserve">Impartiality and Confidentiality Agreement </w:t>
      </w:r>
      <w:r w:rsidR="00600FF9" w:rsidRPr="00D62EE5">
        <w:rPr>
          <w:b/>
          <w:bCs/>
          <w:sz w:val="32"/>
          <w:szCs w:val="32"/>
          <w:u w:val="single"/>
        </w:rPr>
        <w:t>and</w:t>
      </w:r>
    </w:p>
    <w:p w14:paraId="1516F5DF" w14:textId="502B1E98" w:rsidR="00600FF9" w:rsidRPr="00D62EE5" w:rsidRDefault="00600FF9" w:rsidP="004D16E5">
      <w:pPr>
        <w:jc w:val="center"/>
        <w:rPr>
          <w:b/>
          <w:bCs/>
          <w:sz w:val="32"/>
          <w:szCs w:val="32"/>
          <w:u w:val="single"/>
        </w:rPr>
      </w:pPr>
      <w:r w:rsidRPr="00D62EE5">
        <w:rPr>
          <w:b/>
          <w:bCs/>
          <w:sz w:val="32"/>
          <w:szCs w:val="32"/>
          <w:u w:val="single"/>
        </w:rPr>
        <w:t>Election Check List</w:t>
      </w:r>
    </w:p>
    <w:p w14:paraId="78EAF91B" w14:textId="77777777" w:rsidR="00683FDA" w:rsidRDefault="00683FDA" w:rsidP="00683FDA"/>
    <w:p w14:paraId="696375C5" w14:textId="7992D4BD" w:rsidR="00683FDA" w:rsidRPr="004D16E5" w:rsidRDefault="00683FDA" w:rsidP="00683FDA">
      <w:pPr>
        <w:rPr>
          <w:b/>
          <w:bCs/>
        </w:rPr>
      </w:pPr>
      <w:r w:rsidRPr="004D16E5">
        <w:rPr>
          <w:b/>
          <w:bCs/>
        </w:rPr>
        <w:t xml:space="preserve">Mission – Introduction </w:t>
      </w:r>
    </w:p>
    <w:p w14:paraId="27A9F53D" w14:textId="28CDDC4F" w:rsidR="00683FDA" w:rsidRDefault="00683FDA" w:rsidP="00683FDA">
      <w:r>
        <w:t xml:space="preserve">LCG BOD, the administrative office staff, and the Election Committee must remain impartial and transparent at all times during the election process. This should help us </w:t>
      </w:r>
      <w:r w:rsidR="00FF2EEA">
        <w:t xml:space="preserve">to </w:t>
      </w:r>
      <w:r>
        <w:t>achieve a harmonious atmosphere during the election process.</w:t>
      </w:r>
    </w:p>
    <w:p w14:paraId="3E31E380" w14:textId="07CB5BC5" w:rsidR="00683FDA" w:rsidRDefault="00683FDA" w:rsidP="00683FDA">
      <w:r>
        <w:t> </w:t>
      </w:r>
    </w:p>
    <w:p w14:paraId="1AF18423" w14:textId="77777777" w:rsidR="00683FDA" w:rsidRPr="004D16E5" w:rsidRDefault="00683FDA" w:rsidP="00683FDA">
      <w:pPr>
        <w:rPr>
          <w:b/>
          <w:bCs/>
        </w:rPr>
      </w:pPr>
      <w:r w:rsidRPr="004D16E5">
        <w:rPr>
          <w:b/>
          <w:bCs/>
        </w:rPr>
        <w:t xml:space="preserve">Election Committee </w:t>
      </w:r>
    </w:p>
    <w:p w14:paraId="71D5CE1A" w14:textId="50DD6BEC" w:rsidR="000D1629" w:rsidRDefault="000D1629" w:rsidP="00683FDA">
      <w:pPr>
        <w:rPr>
          <w:u w:val="single"/>
        </w:rPr>
      </w:pPr>
      <w:r w:rsidRPr="000D1629">
        <w:rPr>
          <w:u w:val="single"/>
        </w:rPr>
        <w:t xml:space="preserve">Owners in good standing </w:t>
      </w:r>
      <w:r w:rsidR="00FF2EEA">
        <w:rPr>
          <w:u w:val="single"/>
        </w:rPr>
        <w:t xml:space="preserve">who wish to </w:t>
      </w:r>
      <w:r w:rsidR="00105B63">
        <w:rPr>
          <w:u w:val="single"/>
        </w:rPr>
        <w:t>chair</w:t>
      </w:r>
      <w:r w:rsidR="00FF2EEA">
        <w:rPr>
          <w:u w:val="single"/>
        </w:rPr>
        <w:t xml:space="preserve"> the Election Committee </w:t>
      </w:r>
      <w:r w:rsidRPr="000D1629">
        <w:rPr>
          <w:u w:val="single"/>
        </w:rPr>
        <w:t xml:space="preserve">must show </w:t>
      </w:r>
      <w:r w:rsidR="00FF2EEA">
        <w:rPr>
          <w:u w:val="single"/>
        </w:rPr>
        <w:t xml:space="preserve">evidence of </w:t>
      </w:r>
      <w:r w:rsidRPr="000D1629">
        <w:rPr>
          <w:u w:val="single"/>
        </w:rPr>
        <w:t xml:space="preserve">their </w:t>
      </w:r>
      <w:r w:rsidR="00FF2EEA">
        <w:rPr>
          <w:u w:val="single"/>
        </w:rPr>
        <w:t>interest</w:t>
      </w:r>
      <w:r w:rsidRPr="000D1629">
        <w:rPr>
          <w:u w:val="single"/>
        </w:rPr>
        <w:t xml:space="preserve"> to </w:t>
      </w:r>
      <w:r w:rsidR="00105B63">
        <w:rPr>
          <w:u w:val="single"/>
        </w:rPr>
        <w:t>be appointed</w:t>
      </w:r>
      <w:r w:rsidRPr="000D1629">
        <w:rPr>
          <w:u w:val="single"/>
        </w:rPr>
        <w:t xml:space="preserve"> </w:t>
      </w:r>
      <w:r w:rsidR="00105B63">
        <w:rPr>
          <w:u w:val="single"/>
        </w:rPr>
        <w:t>to</w:t>
      </w:r>
      <w:r w:rsidRPr="000D1629">
        <w:rPr>
          <w:u w:val="single"/>
        </w:rPr>
        <w:t xml:space="preserve"> </w:t>
      </w:r>
      <w:r w:rsidR="00105B63">
        <w:rPr>
          <w:u w:val="single"/>
        </w:rPr>
        <w:t>head the</w:t>
      </w:r>
      <w:r w:rsidRPr="000D1629">
        <w:rPr>
          <w:u w:val="single"/>
        </w:rPr>
        <w:t xml:space="preserve"> Election Committee no later than December 01 </w:t>
      </w:r>
      <w:r w:rsidR="00FF2EEA">
        <w:rPr>
          <w:u w:val="single"/>
        </w:rPr>
        <w:t xml:space="preserve">of each year, </w:t>
      </w:r>
      <w:r w:rsidRPr="000D1629">
        <w:rPr>
          <w:u w:val="single"/>
        </w:rPr>
        <w:t xml:space="preserve">this in order </w:t>
      </w:r>
      <w:r w:rsidR="00FF2EEA">
        <w:rPr>
          <w:u w:val="single"/>
        </w:rPr>
        <w:t>that</w:t>
      </w:r>
      <w:r w:rsidRPr="000D1629">
        <w:rPr>
          <w:u w:val="single"/>
        </w:rPr>
        <w:t xml:space="preserve"> Board Members </w:t>
      </w:r>
      <w:r w:rsidR="00FF2EEA">
        <w:rPr>
          <w:u w:val="single"/>
        </w:rPr>
        <w:t>may</w:t>
      </w:r>
      <w:r w:rsidRPr="000D1629">
        <w:rPr>
          <w:u w:val="single"/>
        </w:rPr>
        <w:t xml:space="preserve"> make the</w:t>
      </w:r>
      <w:r w:rsidR="00FF2EEA">
        <w:rPr>
          <w:u w:val="single"/>
        </w:rPr>
        <w:t>ir</w:t>
      </w:r>
      <w:r w:rsidRPr="000D1629">
        <w:rPr>
          <w:u w:val="single"/>
        </w:rPr>
        <w:t xml:space="preserve"> selection of the Election Committee </w:t>
      </w:r>
      <w:r w:rsidR="006B74F9">
        <w:rPr>
          <w:u w:val="single"/>
        </w:rPr>
        <w:t>Chairperson</w:t>
      </w:r>
      <w:r w:rsidRPr="000D1629">
        <w:rPr>
          <w:u w:val="single"/>
        </w:rPr>
        <w:t xml:space="preserve"> no later than December 15</w:t>
      </w:r>
      <w:r w:rsidR="00FF2EEA">
        <w:rPr>
          <w:u w:val="single"/>
        </w:rPr>
        <w:t>, of each year</w:t>
      </w:r>
      <w:r w:rsidRPr="000D1629">
        <w:rPr>
          <w:u w:val="single"/>
        </w:rPr>
        <w:t xml:space="preserve">. </w:t>
      </w:r>
    </w:p>
    <w:p w14:paraId="3870875F" w14:textId="790D6546" w:rsidR="00834E2D" w:rsidRPr="000D1629" w:rsidRDefault="00834E2D" w:rsidP="00683FDA">
      <w:pPr>
        <w:rPr>
          <w:u w:val="single"/>
        </w:rPr>
      </w:pPr>
    </w:p>
    <w:p w14:paraId="3E66F600" w14:textId="118B3FFF" w:rsidR="00683FDA" w:rsidRDefault="00683FDA" w:rsidP="00683FDA">
      <w:r>
        <w:t xml:space="preserve">The Election Committee shall consist of a chairperson and any number of election officers in good standing as prescribed by the LCG BOD. </w:t>
      </w:r>
    </w:p>
    <w:p w14:paraId="0EF83C30" w14:textId="1393E979" w:rsidR="00683FDA" w:rsidRDefault="00683FDA" w:rsidP="00683FDA"/>
    <w:p w14:paraId="6429BD46" w14:textId="77777777" w:rsidR="00683FDA" w:rsidRPr="004D16E5" w:rsidRDefault="00683FDA" w:rsidP="00683FDA">
      <w:pPr>
        <w:rPr>
          <w:b/>
          <w:bCs/>
        </w:rPr>
      </w:pPr>
      <w:r w:rsidRPr="004D16E5">
        <w:rPr>
          <w:b/>
          <w:bCs/>
        </w:rPr>
        <w:t>Election Chairperson</w:t>
      </w:r>
    </w:p>
    <w:p w14:paraId="45E20D20" w14:textId="77777777" w:rsidR="004E0697" w:rsidRDefault="00683FDA" w:rsidP="00683FDA">
      <w:r>
        <w:t xml:space="preserve">The Chairperson shall be appointed by the resolution of the BOD. The Chairperson will then appoint the committee.  The duration of the Chairperson’s mandate is one month prior to the election period starting process until one month after the date of the voting day.  He or she may be removed and replaced at any time for cause by the BOD. </w:t>
      </w:r>
    </w:p>
    <w:p w14:paraId="0C32022C" w14:textId="77777777" w:rsidR="004E0697" w:rsidRDefault="004E0697" w:rsidP="00683FDA"/>
    <w:p w14:paraId="304F1D58" w14:textId="2058DD64" w:rsidR="00683FDA" w:rsidRDefault="00683FDA" w:rsidP="00683FDA">
      <w:r>
        <w:t>Anyone interfering or disrupting the chair or members of the committee during the Annual Meeting as votes are being counted may be subject to a fine.</w:t>
      </w:r>
    </w:p>
    <w:p w14:paraId="6625768F" w14:textId="77777777" w:rsidR="00683FDA" w:rsidRPr="004D16E5" w:rsidRDefault="00683FDA" w:rsidP="00683FDA">
      <w:pPr>
        <w:rPr>
          <w:b/>
          <w:bCs/>
        </w:rPr>
      </w:pPr>
    </w:p>
    <w:p w14:paraId="00FED8E5" w14:textId="09CB2D3D" w:rsidR="000D1629" w:rsidRDefault="000D1629" w:rsidP="00683FDA">
      <w:pPr>
        <w:rPr>
          <w:b/>
          <w:bCs/>
        </w:rPr>
      </w:pPr>
      <w:r>
        <w:rPr>
          <w:b/>
          <w:bCs/>
        </w:rPr>
        <w:t xml:space="preserve">Mandatory Declaration </w:t>
      </w:r>
    </w:p>
    <w:p w14:paraId="7476B39E" w14:textId="08CC478B" w:rsidR="00683FDA" w:rsidRDefault="00683FDA" w:rsidP="00683FDA">
      <w:r w:rsidRPr="000D1629">
        <w:rPr>
          <w:bCs/>
        </w:rPr>
        <w:t>All members of the Election</w:t>
      </w:r>
      <w:r w:rsidRPr="004D16E5">
        <w:rPr>
          <w:b/>
          <w:bCs/>
        </w:rPr>
        <w:t xml:space="preserve"> </w:t>
      </w:r>
      <w:r w:rsidRPr="000D1629">
        <w:rPr>
          <w:bCs/>
        </w:rPr>
        <w:t>Committee</w:t>
      </w:r>
      <w:r w:rsidR="000D1629">
        <w:rPr>
          <w:bCs/>
        </w:rPr>
        <w:t>,</w:t>
      </w:r>
      <w:r w:rsidRPr="004D16E5">
        <w:rPr>
          <w:b/>
          <w:bCs/>
        </w:rPr>
        <w:t xml:space="preserve"> </w:t>
      </w:r>
      <w:r w:rsidR="000D1629">
        <w:t>b</w:t>
      </w:r>
      <w:r>
        <w:t>efore assuming duties, all members of the Election Committee shall make, in writing, a solemn declaration, in the prescribed form by the BOD, that he or she will exercise the powers and perform the duties of the office in an impartial manner. That they will not communicate or use personal information obtained at that time other than for a purpose in performing those duties.</w:t>
      </w:r>
    </w:p>
    <w:p w14:paraId="1FE14E8E" w14:textId="1EFEDCCA" w:rsidR="00C17F7E" w:rsidRDefault="00C17F7E" w:rsidP="00683FDA"/>
    <w:p w14:paraId="3269042E" w14:textId="25EF482D" w:rsidR="00C17F7E" w:rsidRPr="00C17F7E" w:rsidRDefault="00C17F7E" w:rsidP="00683FDA">
      <w:pPr>
        <w:rPr>
          <w:b/>
          <w:u w:val="single"/>
        </w:rPr>
      </w:pPr>
      <w:r w:rsidRPr="00C17F7E">
        <w:rPr>
          <w:b/>
          <w:u w:val="single"/>
        </w:rPr>
        <w:t>Election Budget</w:t>
      </w:r>
    </w:p>
    <w:p w14:paraId="6DCBDA8B" w14:textId="77777777" w:rsidR="00C17F7E" w:rsidRPr="00C17F7E" w:rsidRDefault="00C17F7E" w:rsidP="00683FDA">
      <w:pPr>
        <w:rPr>
          <w:u w:val="single"/>
        </w:rPr>
      </w:pPr>
      <w:r w:rsidRPr="00C17F7E">
        <w:rPr>
          <w:u w:val="single"/>
        </w:rPr>
        <w:t xml:space="preserve">The budget allowed to the Election process must be handled by the Election Chairperson. </w:t>
      </w:r>
    </w:p>
    <w:p w14:paraId="67B0B34C" w14:textId="62146125" w:rsidR="00C17F7E" w:rsidRDefault="00C17F7E" w:rsidP="00683FDA">
      <w:pPr>
        <w:rPr>
          <w:u w:val="single"/>
        </w:rPr>
      </w:pPr>
      <w:r w:rsidRPr="00C17F7E">
        <w:rPr>
          <w:u w:val="single"/>
        </w:rPr>
        <w:t>Detailed financial information with the respective invoices, receipt</w:t>
      </w:r>
      <w:r w:rsidR="00431161">
        <w:rPr>
          <w:u w:val="single"/>
        </w:rPr>
        <w:t>s</w:t>
      </w:r>
      <w:r w:rsidRPr="00C17F7E">
        <w:rPr>
          <w:u w:val="single"/>
        </w:rPr>
        <w:t xml:space="preserve"> </w:t>
      </w:r>
      <w:r w:rsidR="00134633">
        <w:rPr>
          <w:u w:val="single"/>
        </w:rPr>
        <w:t>will</w:t>
      </w:r>
      <w:r w:rsidRPr="00C17F7E">
        <w:rPr>
          <w:u w:val="single"/>
        </w:rPr>
        <w:t xml:space="preserve"> be prepared and transmitted to the Board of Directors, no later than 30 days after the date of the election.</w:t>
      </w:r>
    </w:p>
    <w:p w14:paraId="60C6DB6C" w14:textId="77777777" w:rsidR="00FD0C57" w:rsidRDefault="00FD0C57" w:rsidP="00FF2EEA">
      <w:pPr>
        <w:rPr>
          <w:u w:val="single"/>
        </w:rPr>
      </w:pPr>
    </w:p>
    <w:p w14:paraId="7A19FA17" w14:textId="77777777" w:rsidR="00FD0C57" w:rsidRDefault="00FD0C57" w:rsidP="00FF2EEA">
      <w:pPr>
        <w:rPr>
          <w:u w:val="single"/>
        </w:rPr>
      </w:pPr>
    </w:p>
    <w:p w14:paraId="0D52BE90" w14:textId="007DEDD7" w:rsidR="00FF2EEA" w:rsidRPr="00431161" w:rsidRDefault="00FF2EEA" w:rsidP="00FF2EEA">
      <w:pPr>
        <w:rPr>
          <w:b/>
          <w:u w:val="single"/>
        </w:rPr>
      </w:pPr>
      <w:r w:rsidRPr="00431161">
        <w:rPr>
          <w:b/>
          <w:u w:val="single"/>
        </w:rPr>
        <w:lastRenderedPageBreak/>
        <w:t>E-Mail Address</w:t>
      </w:r>
    </w:p>
    <w:p w14:paraId="5C0708D0" w14:textId="72C968AE" w:rsidR="00FF2EEA" w:rsidRDefault="00FF2EEA" w:rsidP="00FF2EEA">
      <w:pPr>
        <w:rPr>
          <w:u w:val="single"/>
        </w:rPr>
      </w:pPr>
      <w:r>
        <w:rPr>
          <w:u w:val="single"/>
        </w:rPr>
        <w:t>To</w:t>
      </w:r>
      <w:r w:rsidRPr="00431161">
        <w:rPr>
          <w:u w:val="single"/>
        </w:rPr>
        <w:t xml:space="preserve"> communicate </w:t>
      </w:r>
      <w:r>
        <w:rPr>
          <w:u w:val="single"/>
        </w:rPr>
        <w:t xml:space="preserve">with  </w:t>
      </w:r>
      <w:r w:rsidR="00105B63">
        <w:rPr>
          <w:u w:val="single"/>
        </w:rPr>
        <w:t>each other</w:t>
      </w:r>
      <w:r>
        <w:rPr>
          <w:u w:val="single"/>
        </w:rPr>
        <w:t xml:space="preserve"> (BOD, candidates, owners)</w:t>
      </w:r>
      <w:r w:rsidRPr="00431161">
        <w:rPr>
          <w:u w:val="single"/>
        </w:rPr>
        <w:t xml:space="preserve"> an e-mail address (</w:t>
      </w:r>
      <w:proofErr w:type="spellStart"/>
      <w:r w:rsidRPr="00431161">
        <w:rPr>
          <w:u w:val="single"/>
        </w:rPr>
        <w:t>exp</w:t>
      </w:r>
      <w:proofErr w:type="spellEnd"/>
      <w:r w:rsidRPr="00431161">
        <w:rPr>
          <w:u w:val="single"/>
        </w:rPr>
        <w:t xml:space="preserve">: </w:t>
      </w:r>
      <w:hyperlink r:id="rId6" w:history="1">
        <w:r w:rsidRPr="00431161">
          <w:rPr>
            <w:rStyle w:val="Lienhypertexte"/>
            <w:color w:val="auto"/>
          </w:rPr>
          <w:t>lcgelection@gmail.com</w:t>
        </w:r>
      </w:hyperlink>
      <w:r w:rsidRPr="00431161">
        <w:rPr>
          <w:u w:val="single"/>
        </w:rPr>
        <w:t>)</w:t>
      </w:r>
      <w:r>
        <w:rPr>
          <w:u w:val="single"/>
        </w:rPr>
        <w:t xml:space="preserve"> </w:t>
      </w:r>
      <w:r w:rsidRPr="00431161">
        <w:rPr>
          <w:u w:val="single"/>
        </w:rPr>
        <w:t>should be made available for the Election Chairperson.</w:t>
      </w:r>
    </w:p>
    <w:p w14:paraId="16A5FA56" w14:textId="1BABDC01" w:rsidR="00FF2EEA" w:rsidRDefault="00FF2EEA" w:rsidP="00FF2EEA">
      <w:pPr>
        <w:rPr>
          <w:u w:val="single"/>
        </w:rPr>
      </w:pPr>
    </w:p>
    <w:p w14:paraId="296C084A" w14:textId="617E80AE" w:rsidR="00FF2EEA" w:rsidRDefault="00FF2EEA" w:rsidP="00FF2EEA">
      <w:pPr>
        <w:rPr>
          <w:u w:val="single"/>
        </w:rPr>
      </w:pPr>
    </w:p>
    <w:p w14:paraId="0C4504FA" w14:textId="77777777" w:rsidR="00FF2EEA" w:rsidRPr="00C17F7E" w:rsidRDefault="00FF2EEA" w:rsidP="00FF2EEA">
      <w:pPr>
        <w:rPr>
          <w:b/>
          <w:u w:val="single"/>
        </w:rPr>
      </w:pPr>
      <w:r w:rsidRPr="00C17F7E">
        <w:rPr>
          <w:b/>
          <w:u w:val="single"/>
        </w:rPr>
        <w:t>Candidates Contact Information</w:t>
      </w:r>
    </w:p>
    <w:p w14:paraId="4EDCA201" w14:textId="30A4401E" w:rsidR="00FF2EEA" w:rsidRPr="00963F66" w:rsidRDefault="00105B63" w:rsidP="00FF2EEA">
      <w:pPr>
        <w:rPr>
          <w:u w:val="single"/>
        </w:rPr>
      </w:pPr>
      <w:r>
        <w:rPr>
          <w:u w:val="single"/>
        </w:rPr>
        <w:t>The BOD</w:t>
      </w:r>
      <w:r w:rsidR="00FF2EEA" w:rsidRPr="00963F66">
        <w:rPr>
          <w:u w:val="single"/>
        </w:rPr>
        <w:t xml:space="preserve"> should forward, as soon as received, the contact information for each candidate to the Election Chairperson. The contact information must include their names, phone number and e-mail address.</w:t>
      </w:r>
    </w:p>
    <w:p w14:paraId="30BCE890" w14:textId="77777777" w:rsidR="00FF2EEA" w:rsidRPr="00431161" w:rsidRDefault="00FF2EEA" w:rsidP="00FF2EEA">
      <w:pPr>
        <w:rPr>
          <w:u w:val="single"/>
        </w:rPr>
      </w:pPr>
    </w:p>
    <w:p w14:paraId="339EB7FF" w14:textId="03A082EF" w:rsidR="00FF2EEA" w:rsidRDefault="00FF2EEA" w:rsidP="00683FDA">
      <w:pPr>
        <w:rPr>
          <w:u w:val="single"/>
        </w:rPr>
      </w:pPr>
    </w:p>
    <w:p w14:paraId="72F2B404" w14:textId="2451D193" w:rsidR="00851C6A" w:rsidRPr="00431161" w:rsidRDefault="00851C6A" w:rsidP="00683FDA">
      <w:pPr>
        <w:rPr>
          <w:b/>
          <w:u w:val="single"/>
        </w:rPr>
      </w:pPr>
      <w:r w:rsidRPr="00431161">
        <w:rPr>
          <w:b/>
          <w:u w:val="single"/>
        </w:rPr>
        <w:t>Preparation and distribution of Election Package</w:t>
      </w:r>
    </w:p>
    <w:p w14:paraId="71E1A986" w14:textId="09E5AD6E" w:rsidR="00851C6A" w:rsidRDefault="00851C6A" w:rsidP="00683FDA">
      <w:pPr>
        <w:rPr>
          <w:u w:val="single"/>
        </w:rPr>
      </w:pPr>
      <w:r>
        <w:rPr>
          <w:u w:val="single"/>
        </w:rPr>
        <w:t xml:space="preserve">Preparation and distribution of Election package </w:t>
      </w:r>
      <w:r w:rsidR="00134633">
        <w:rPr>
          <w:u w:val="single"/>
        </w:rPr>
        <w:t>shall</w:t>
      </w:r>
      <w:r w:rsidR="00431161">
        <w:rPr>
          <w:u w:val="single"/>
        </w:rPr>
        <w:t xml:space="preserve"> </w:t>
      </w:r>
      <w:r w:rsidR="00134633">
        <w:rPr>
          <w:u w:val="single"/>
        </w:rPr>
        <w:t>be completed</w:t>
      </w:r>
      <w:r>
        <w:rPr>
          <w:u w:val="single"/>
        </w:rPr>
        <w:t xml:space="preserve"> by the Election Committee and volunteers</w:t>
      </w:r>
      <w:r w:rsidR="00481BBE">
        <w:rPr>
          <w:u w:val="single"/>
        </w:rPr>
        <w:t xml:space="preserve"> cho</w:t>
      </w:r>
      <w:r w:rsidR="00431161">
        <w:rPr>
          <w:u w:val="single"/>
        </w:rPr>
        <w:t>sen by the Committee Chairperson.</w:t>
      </w:r>
    </w:p>
    <w:p w14:paraId="67E2746E" w14:textId="77777777" w:rsidR="00134633" w:rsidRDefault="00134633" w:rsidP="00683FDA">
      <w:pPr>
        <w:rPr>
          <w:u w:val="single"/>
        </w:rPr>
      </w:pPr>
    </w:p>
    <w:p w14:paraId="32D7946B" w14:textId="3858FB2E" w:rsidR="00A01F0D" w:rsidRPr="00963F66" w:rsidRDefault="00A01F0D" w:rsidP="00683FDA"/>
    <w:p w14:paraId="121FF3A6" w14:textId="76FF7078" w:rsidR="00A01F0D" w:rsidRPr="00134633" w:rsidRDefault="00A01F0D" w:rsidP="00683FDA">
      <w:pPr>
        <w:rPr>
          <w:b/>
        </w:rPr>
      </w:pPr>
      <w:r w:rsidRPr="00134633">
        <w:rPr>
          <w:b/>
        </w:rPr>
        <w:t>Candidates – Information session</w:t>
      </w:r>
    </w:p>
    <w:p w14:paraId="16C9D636" w14:textId="1BB0AF02" w:rsidR="00963F66" w:rsidRPr="00963F66" w:rsidRDefault="00A01F0D" w:rsidP="00683FDA">
      <w:pPr>
        <w:rPr>
          <w:u w:val="single"/>
        </w:rPr>
      </w:pPr>
      <w:r w:rsidRPr="00963F66">
        <w:rPr>
          <w:u w:val="single"/>
        </w:rPr>
        <w:t>A copy of the Election Guid</w:t>
      </w:r>
      <w:bookmarkStart w:id="0" w:name="_GoBack"/>
      <w:bookmarkEnd w:id="0"/>
      <w:r w:rsidRPr="00963F66">
        <w:rPr>
          <w:u w:val="single"/>
        </w:rPr>
        <w:t xml:space="preserve">elines should be </w:t>
      </w:r>
      <w:r w:rsidR="00963F66" w:rsidRPr="00963F66">
        <w:rPr>
          <w:u w:val="single"/>
        </w:rPr>
        <w:t>forward</w:t>
      </w:r>
      <w:r w:rsidR="00105B63">
        <w:rPr>
          <w:u w:val="single"/>
        </w:rPr>
        <w:t xml:space="preserve">ed </w:t>
      </w:r>
      <w:r w:rsidR="00134633">
        <w:rPr>
          <w:u w:val="single"/>
        </w:rPr>
        <w:t>to each candidate</w:t>
      </w:r>
      <w:r w:rsidRPr="00963F66">
        <w:rPr>
          <w:u w:val="single"/>
        </w:rPr>
        <w:t xml:space="preserve">. </w:t>
      </w:r>
    </w:p>
    <w:p w14:paraId="7CB9B233" w14:textId="15ACAE78" w:rsidR="00963F66" w:rsidRPr="00963F66" w:rsidRDefault="00A01F0D" w:rsidP="00683FDA">
      <w:pPr>
        <w:rPr>
          <w:u w:val="single"/>
        </w:rPr>
      </w:pPr>
      <w:r w:rsidRPr="00963F66">
        <w:rPr>
          <w:u w:val="single"/>
        </w:rPr>
        <w:t xml:space="preserve">An information session </w:t>
      </w:r>
      <w:r w:rsidR="00134633">
        <w:rPr>
          <w:u w:val="single"/>
        </w:rPr>
        <w:t>shall be</w:t>
      </w:r>
      <w:r w:rsidRPr="00963F66">
        <w:rPr>
          <w:u w:val="single"/>
        </w:rPr>
        <w:t xml:space="preserve"> prepared by the Election Committee </w:t>
      </w:r>
      <w:r w:rsidR="00134633">
        <w:rPr>
          <w:u w:val="single"/>
        </w:rPr>
        <w:t xml:space="preserve">and held </w:t>
      </w:r>
      <w:r w:rsidRPr="00963F66">
        <w:rPr>
          <w:u w:val="single"/>
        </w:rPr>
        <w:t xml:space="preserve">to </w:t>
      </w:r>
      <w:r w:rsidR="00134633">
        <w:rPr>
          <w:u w:val="single"/>
        </w:rPr>
        <w:t>inform them</w:t>
      </w:r>
      <w:r w:rsidRPr="00963F66">
        <w:rPr>
          <w:u w:val="single"/>
        </w:rPr>
        <w:t xml:space="preserve"> </w:t>
      </w:r>
      <w:r w:rsidR="00134633">
        <w:rPr>
          <w:u w:val="single"/>
        </w:rPr>
        <w:t>of</w:t>
      </w:r>
      <w:r w:rsidRPr="00963F66">
        <w:rPr>
          <w:u w:val="single"/>
        </w:rPr>
        <w:t xml:space="preserve"> the details of the Guidelines</w:t>
      </w:r>
      <w:r w:rsidR="00431161">
        <w:rPr>
          <w:u w:val="single"/>
        </w:rPr>
        <w:t>.</w:t>
      </w:r>
    </w:p>
    <w:p w14:paraId="408A9205" w14:textId="75C61D57" w:rsidR="00A01F0D" w:rsidRPr="00963F66" w:rsidRDefault="00963F66" w:rsidP="00683FDA">
      <w:pPr>
        <w:rPr>
          <w:u w:val="single"/>
        </w:rPr>
      </w:pPr>
      <w:r w:rsidRPr="00963F66">
        <w:rPr>
          <w:u w:val="single"/>
        </w:rPr>
        <w:t xml:space="preserve">An invitation </w:t>
      </w:r>
      <w:r w:rsidR="00134633">
        <w:rPr>
          <w:u w:val="single"/>
        </w:rPr>
        <w:t>including</w:t>
      </w:r>
      <w:r w:rsidRPr="00963F66">
        <w:rPr>
          <w:u w:val="single"/>
        </w:rPr>
        <w:t xml:space="preserve"> preset dates (choice of two dates and</w:t>
      </w:r>
      <w:r w:rsidR="00134633">
        <w:rPr>
          <w:u w:val="single"/>
        </w:rPr>
        <w:t xml:space="preserve"> time – before election) shall be prepared and distributed </w:t>
      </w:r>
      <w:r w:rsidRPr="00963F66">
        <w:rPr>
          <w:u w:val="single"/>
        </w:rPr>
        <w:t xml:space="preserve">to </w:t>
      </w:r>
      <w:r w:rsidR="00134633">
        <w:rPr>
          <w:u w:val="single"/>
        </w:rPr>
        <w:t xml:space="preserve">each </w:t>
      </w:r>
      <w:r w:rsidRPr="00963F66">
        <w:rPr>
          <w:u w:val="single"/>
        </w:rPr>
        <w:t xml:space="preserve">candidates by e-mail. Upon receiving </w:t>
      </w:r>
      <w:r w:rsidR="00134633">
        <w:rPr>
          <w:u w:val="single"/>
        </w:rPr>
        <w:t>the candidate’s availability, the date/</w:t>
      </w:r>
      <w:proofErr w:type="gramStart"/>
      <w:r w:rsidR="00134633">
        <w:rPr>
          <w:u w:val="single"/>
        </w:rPr>
        <w:t xml:space="preserve">time </w:t>
      </w:r>
      <w:r w:rsidR="00481BBE">
        <w:rPr>
          <w:u w:val="single"/>
        </w:rPr>
        <w:t xml:space="preserve"> cho</w:t>
      </w:r>
      <w:r w:rsidRPr="00963F66">
        <w:rPr>
          <w:u w:val="single"/>
        </w:rPr>
        <w:t>sen</w:t>
      </w:r>
      <w:proofErr w:type="gramEnd"/>
      <w:r w:rsidRPr="00963F66">
        <w:rPr>
          <w:u w:val="single"/>
        </w:rPr>
        <w:t xml:space="preserve"> by the majority of candidates will be noted and this will be</w:t>
      </w:r>
      <w:r w:rsidR="00134633">
        <w:rPr>
          <w:u w:val="single"/>
        </w:rPr>
        <w:t xml:space="preserve"> noted and set as the date/time for Information Session.</w:t>
      </w:r>
    </w:p>
    <w:p w14:paraId="08D5B534" w14:textId="77777777" w:rsidR="00683FDA" w:rsidRDefault="00683FDA" w:rsidP="00683FDA"/>
    <w:p w14:paraId="099548A9" w14:textId="77777777" w:rsidR="00683FDA" w:rsidRPr="004D16E5" w:rsidRDefault="00683FDA" w:rsidP="00683FDA">
      <w:pPr>
        <w:rPr>
          <w:b/>
          <w:bCs/>
        </w:rPr>
      </w:pPr>
      <w:r w:rsidRPr="004D16E5">
        <w:rPr>
          <w:b/>
          <w:bCs/>
        </w:rPr>
        <w:t xml:space="preserve">Candidates Canvassing </w:t>
      </w:r>
    </w:p>
    <w:p w14:paraId="3F113AC9" w14:textId="76132B60" w:rsidR="00683FDA" w:rsidRDefault="00683FDA" w:rsidP="00683FDA">
      <w:r>
        <w:t>Canvassing is allowed by Florida statute. Suggested canvassing hours are between 9:00 am to 7:00 pm. All candidates running for the board &amp; going door to door will be allowed to have only 1 person to accompany them.  Canvassing is not allowed in front of, or in the LCG office.</w:t>
      </w:r>
    </w:p>
    <w:p w14:paraId="1308FE20" w14:textId="77777777" w:rsidR="00683FDA" w:rsidRDefault="00683FDA" w:rsidP="00683FDA"/>
    <w:p w14:paraId="5B09C194" w14:textId="77777777" w:rsidR="00683FDA" w:rsidRPr="004D16E5" w:rsidRDefault="00683FDA" w:rsidP="00683FDA">
      <w:pPr>
        <w:rPr>
          <w:b/>
          <w:bCs/>
        </w:rPr>
      </w:pPr>
      <w:r w:rsidRPr="004D16E5">
        <w:rPr>
          <w:b/>
          <w:bCs/>
        </w:rPr>
        <w:t>Candidate Meetings</w:t>
      </w:r>
    </w:p>
    <w:p w14:paraId="20542E33" w14:textId="77777777" w:rsidR="00683FDA" w:rsidRPr="004D16E5" w:rsidRDefault="00683FDA" w:rsidP="00683FDA">
      <w:pPr>
        <w:rPr>
          <w:b/>
          <w:bCs/>
        </w:rPr>
      </w:pPr>
      <w:r w:rsidRPr="004D16E5">
        <w:rPr>
          <w:b/>
          <w:bCs/>
        </w:rPr>
        <w:t xml:space="preserve">Official Candidate Meeting </w:t>
      </w:r>
    </w:p>
    <w:p w14:paraId="22BAE444" w14:textId="44D97BA6" w:rsidR="00D21793" w:rsidRDefault="00683FDA" w:rsidP="00683FDA">
      <w:r>
        <w:t xml:space="preserve">Only one official candidate meeting will be scheduled </w:t>
      </w:r>
      <w:r w:rsidR="000D1629" w:rsidRPr="000D1629">
        <w:rPr>
          <w:u w:val="single"/>
        </w:rPr>
        <w:t xml:space="preserve">at </w:t>
      </w:r>
      <w:r w:rsidR="00C31FB9">
        <w:rPr>
          <w:u w:val="single"/>
        </w:rPr>
        <w:t>7PM</w:t>
      </w:r>
      <w:r w:rsidR="000D1629" w:rsidRPr="000D1629">
        <w:rPr>
          <w:u w:val="single"/>
        </w:rPr>
        <w:t xml:space="preserve"> </w:t>
      </w:r>
      <w:r>
        <w:t xml:space="preserve">during the election campaign. It </w:t>
      </w:r>
      <w:r w:rsidR="00A12E8C">
        <w:t>shall</w:t>
      </w:r>
      <w:r>
        <w:t xml:space="preserve"> be held in the auditorium and </w:t>
      </w:r>
      <w:r w:rsidR="00A12E8C">
        <w:t>be a structured</w:t>
      </w:r>
      <w:r>
        <w:t xml:space="preserve"> session with </w:t>
      </w:r>
      <w:r w:rsidR="00A12E8C">
        <w:t xml:space="preserve">pertinent questions </w:t>
      </w:r>
      <w:r>
        <w:t>from the</w:t>
      </w:r>
      <w:r w:rsidRPr="000D1629">
        <w:rPr>
          <w:u w:val="single"/>
        </w:rPr>
        <w:t xml:space="preserve"> </w:t>
      </w:r>
      <w:r w:rsidR="00A12E8C">
        <w:rPr>
          <w:u w:val="single"/>
        </w:rPr>
        <w:t xml:space="preserve">owners. </w:t>
      </w:r>
      <w:r>
        <w:t xml:space="preserve"> </w:t>
      </w:r>
    </w:p>
    <w:p w14:paraId="41C94BF8" w14:textId="77777777" w:rsidR="00FF2EEA" w:rsidRDefault="00FF2EEA" w:rsidP="00683FDA"/>
    <w:p w14:paraId="1ADCA567" w14:textId="23BD6D9E" w:rsidR="00D21793" w:rsidRDefault="00D21793" w:rsidP="00683FDA">
      <w:pPr>
        <w:rPr>
          <w:u w:val="single"/>
        </w:rPr>
      </w:pPr>
      <w:r w:rsidRPr="00D21793">
        <w:rPr>
          <w:u w:val="single"/>
        </w:rPr>
        <w:t>Question should be forwarded to the Election Chairperson</w:t>
      </w:r>
      <w:r w:rsidR="00A12E8C">
        <w:rPr>
          <w:u w:val="single"/>
        </w:rPr>
        <w:t xml:space="preserve"> by e-mail</w:t>
      </w:r>
      <w:r w:rsidRPr="00D21793">
        <w:rPr>
          <w:u w:val="single"/>
        </w:rPr>
        <w:t xml:space="preserve">. No specific question </w:t>
      </w:r>
      <w:r w:rsidR="00A12E8C">
        <w:rPr>
          <w:u w:val="single"/>
        </w:rPr>
        <w:t>will</w:t>
      </w:r>
      <w:r w:rsidRPr="00D21793">
        <w:rPr>
          <w:u w:val="single"/>
        </w:rPr>
        <w:t xml:space="preserve"> be asked. </w:t>
      </w:r>
      <w:r>
        <w:rPr>
          <w:u w:val="single"/>
        </w:rPr>
        <w:t>A maximum of 10 questions in total will be accepted.</w:t>
      </w:r>
    </w:p>
    <w:p w14:paraId="37AA520E" w14:textId="77777777" w:rsidR="00FF2EEA" w:rsidRPr="00D21793" w:rsidRDefault="00FF2EEA" w:rsidP="00683FDA">
      <w:pPr>
        <w:rPr>
          <w:u w:val="single"/>
        </w:rPr>
      </w:pPr>
    </w:p>
    <w:p w14:paraId="587D0F6D" w14:textId="44C37E9A" w:rsidR="00683FDA" w:rsidRDefault="00683FDA" w:rsidP="00683FDA">
      <w:r>
        <w:t>If there are too many candidates to comfortably give each a reasonable time to answer the questions, then a second meeting shall be scheduled.</w:t>
      </w:r>
    </w:p>
    <w:p w14:paraId="50C5AB94" w14:textId="77777777" w:rsidR="00683FDA" w:rsidRDefault="00683FDA" w:rsidP="00683FDA"/>
    <w:p w14:paraId="4A542495" w14:textId="77777777" w:rsidR="00683FDA" w:rsidRPr="004D16E5" w:rsidRDefault="00683FDA" w:rsidP="00683FDA">
      <w:pPr>
        <w:rPr>
          <w:b/>
          <w:bCs/>
        </w:rPr>
      </w:pPr>
      <w:r w:rsidRPr="004D16E5">
        <w:rPr>
          <w:b/>
          <w:bCs/>
        </w:rPr>
        <w:t xml:space="preserve">Campaign Meeting (by candidates) </w:t>
      </w:r>
    </w:p>
    <w:p w14:paraId="190C3D7A" w14:textId="20D6D7B8" w:rsidR="00683FDA" w:rsidRDefault="00683FDA" w:rsidP="00683FDA">
      <w:r>
        <w:t>Should candidates wish to schedule a campaign social event, such candidates must present their request to the Election Committee. That submission should be made 72 hours prior to the date of the event, in order to advise the administration, post the information 48 hours prior to the event and reserve the meeting room, pool, or other gathering area.</w:t>
      </w:r>
    </w:p>
    <w:p w14:paraId="6D1E76E5" w14:textId="77777777" w:rsidR="00105B63" w:rsidRDefault="00105B63" w:rsidP="00683FDA"/>
    <w:p w14:paraId="059F2087" w14:textId="77777777" w:rsidR="00683FDA" w:rsidRDefault="00683FDA" w:rsidP="00683FDA"/>
    <w:p w14:paraId="44AF9F27" w14:textId="77777777" w:rsidR="00683FDA" w:rsidRPr="004D16E5" w:rsidRDefault="00683FDA" w:rsidP="00683FDA">
      <w:pPr>
        <w:rPr>
          <w:b/>
          <w:bCs/>
        </w:rPr>
      </w:pPr>
      <w:r w:rsidRPr="004D16E5">
        <w:rPr>
          <w:b/>
          <w:bCs/>
        </w:rPr>
        <w:t xml:space="preserve">Promotion/Advertising etc... </w:t>
      </w:r>
    </w:p>
    <w:p w14:paraId="4BD3BE19" w14:textId="6610578F" w:rsidR="00600A0F" w:rsidRDefault="00683FDA" w:rsidP="00683FDA">
      <w:r>
        <w:t xml:space="preserve">All election advertisements, irrespective of when they are published, must also obtain the Election Chairperson’s initials before being distributed or posted anywhere on LCG property.   All postings must include the name of the person that has initiated or instigated them and must be signed and dated by </w:t>
      </w:r>
      <w:r>
        <w:lastRenderedPageBreak/>
        <w:t>that person.  Any anonymous letter or document will be revoked and destroyed.   Distribution of such documents is prohibited. The LCG Facebook page, Newsletter, and website of LCG cannot</w:t>
      </w:r>
      <w:r w:rsidR="001E0265">
        <w:t xml:space="preserve"> be used to promote a candidate,</w:t>
      </w:r>
      <w:r w:rsidR="001E0265" w:rsidRPr="001E0265">
        <w:rPr>
          <w:u w:val="single"/>
        </w:rPr>
        <w:t xml:space="preserve"> at </w:t>
      </w:r>
      <w:proofErr w:type="spellStart"/>
      <w:r w:rsidR="001E0265" w:rsidRPr="001E0265">
        <w:rPr>
          <w:u w:val="single"/>
        </w:rPr>
        <w:t>anytime</w:t>
      </w:r>
      <w:proofErr w:type="spellEnd"/>
      <w:r w:rsidR="001E0265" w:rsidRPr="001E0265">
        <w:rPr>
          <w:u w:val="single"/>
        </w:rPr>
        <w:t xml:space="preserve"> during the year.</w:t>
      </w:r>
    </w:p>
    <w:sectPr w:rsidR="00600A0F" w:rsidSect="00683FDA">
      <w:foot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93F64" w14:textId="77777777" w:rsidR="00181A69" w:rsidRDefault="00181A69" w:rsidP="004D16E5">
      <w:r>
        <w:separator/>
      </w:r>
    </w:p>
  </w:endnote>
  <w:endnote w:type="continuationSeparator" w:id="0">
    <w:p w14:paraId="73B82883" w14:textId="77777777" w:rsidR="00181A69" w:rsidRDefault="00181A69" w:rsidP="004D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BE86" w14:textId="6FB9CA21" w:rsidR="00851C6A" w:rsidRDefault="00851C6A">
    <w:pPr>
      <w:pStyle w:val="Pieddepage"/>
      <w:tabs>
        <w:tab w:val="clear" w:pos="4680"/>
        <w:tab w:val="clear" w:pos="9360"/>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481BBE" w:rsidRPr="00481BBE">
      <w:rPr>
        <w:caps/>
        <w:noProof/>
        <w:color w:val="4472C4" w:themeColor="accent1"/>
        <w:lang w:val="fr-FR"/>
      </w:rPr>
      <w:t>1</w:t>
    </w:r>
    <w:r>
      <w:rPr>
        <w:caps/>
        <w:color w:val="4472C4" w:themeColor="accent1"/>
      </w:rPr>
      <w:fldChar w:fldCharType="end"/>
    </w:r>
    <w:r w:rsidR="00FD0C57">
      <w:rPr>
        <w:caps/>
        <w:color w:val="4472C4" w:themeColor="accent1"/>
      </w:rPr>
      <w:t xml:space="preserve"> of 3</w:t>
    </w:r>
  </w:p>
  <w:p w14:paraId="234F08B4" w14:textId="03EAF1FF" w:rsidR="00851C6A" w:rsidRDefault="00A12E8C">
    <w:pPr>
      <w:pStyle w:val="Pieddepage"/>
      <w:tabs>
        <w:tab w:val="clear" w:pos="4680"/>
        <w:tab w:val="clear" w:pos="9360"/>
      </w:tabs>
      <w:jc w:val="center"/>
      <w:rPr>
        <w:caps/>
        <w:color w:val="4472C4" w:themeColor="accent1"/>
      </w:rPr>
    </w:pPr>
    <w:r>
      <w:rPr>
        <w:caps/>
        <w:color w:val="4472C4" w:themeColor="accent1"/>
      </w:rPr>
      <w:t xml:space="preserve">Revision 1 – </w:t>
    </w:r>
    <w:r w:rsidR="00481BBE">
      <w:rPr>
        <w:caps/>
        <w:color w:val="4472C4" w:themeColor="accent1"/>
      </w:rPr>
      <w:t xml:space="preserve">December 12 </w:t>
    </w:r>
    <w:r w:rsidR="00851C6A">
      <w:rPr>
        <w:caps/>
        <w:color w:val="4472C4" w:themeColor="accent1"/>
      </w:rPr>
      <w:t>2022</w:t>
    </w:r>
  </w:p>
  <w:p w14:paraId="774691BF" w14:textId="77777777" w:rsidR="00851C6A" w:rsidRDefault="00851C6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120BB" w14:textId="77777777" w:rsidR="00181A69" w:rsidRDefault="00181A69" w:rsidP="004D16E5">
      <w:r>
        <w:separator/>
      </w:r>
    </w:p>
  </w:footnote>
  <w:footnote w:type="continuationSeparator" w:id="0">
    <w:p w14:paraId="673A2153" w14:textId="77777777" w:rsidR="00181A69" w:rsidRDefault="00181A69" w:rsidP="004D1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DA"/>
    <w:rsid w:val="000D1629"/>
    <w:rsid w:val="00105B63"/>
    <w:rsid w:val="00134633"/>
    <w:rsid w:val="00181A69"/>
    <w:rsid w:val="001E0265"/>
    <w:rsid w:val="00431161"/>
    <w:rsid w:val="00481BBE"/>
    <w:rsid w:val="004D16E5"/>
    <w:rsid w:val="004E0697"/>
    <w:rsid w:val="005628B4"/>
    <w:rsid w:val="00600A0F"/>
    <w:rsid w:val="00600FF9"/>
    <w:rsid w:val="00683FDA"/>
    <w:rsid w:val="006B74F9"/>
    <w:rsid w:val="007246D9"/>
    <w:rsid w:val="00834E2D"/>
    <w:rsid w:val="00851C6A"/>
    <w:rsid w:val="00912E34"/>
    <w:rsid w:val="00963F66"/>
    <w:rsid w:val="00A01F0D"/>
    <w:rsid w:val="00A12E8C"/>
    <w:rsid w:val="00A91594"/>
    <w:rsid w:val="00AC652D"/>
    <w:rsid w:val="00C17F7E"/>
    <w:rsid w:val="00C31FB9"/>
    <w:rsid w:val="00C4369A"/>
    <w:rsid w:val="00C5322F"/>
    <w:rsid w:val="00D21793"/>
    <w:rsid w:val="00D62EE5"/>
    <w:rsid w:val="00F96D6F"/>
    <w:rsid w:val="00FD0C57"/>
    <w:rsid w:val="00FF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4ACE"/>
  <w15:chartTrackingRefBased/>
  <w15:docId w15:val="{BC86CDBA-93E8-4935-B3E2-38A9FF7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6E5"/>
    <w:pPr>
      <w:tabs>
        <w:tab w:val="center" w:pos="4680"/>
        <w:tab w:val="right" w:pos="9360"/>
      </w:tabs>
    </w:pPr>
  </w:style>
  <w:style w:type="character" w:customStyle="1" w:styleId="En-tteCar">
    <w:name w:val="En-tête Car"/>
    <w:basedOn w:val="Policepardfaut"/>
    <w:link w:val="En-tte"/>
    <w:uiPriority w:val="99"/>
    <w:rsid w:val="004D16E5"/>
  </w:style>
  <w:style w:type="paragraph" w:styleId="Pieddepage">
    <w:name w:val="footer"/>
    <w:basedOn w:val="Normal"/>
    <w:link w:val="PieddepageCar"/>
    <w:uiPriority w:val="99"/>
    <w:unhideWhenUsed/>
    <w:rsid w:val="004D16E5"/>
    <w:pPr>
      <w:tabs>
        <w:tab w:val="center" w:pos="4680"/>
        <w:tab w:val="right" w:pos="9360"/>
      </w:tabs>
    </w:pPr>
  </w:style>
  <w:style w:type="character" w:customStyle="1" w:styleId="PieddepageCar">
    <w:name w:val="Pied de page Car"/>
    <w:basedOn w:val="Policepardfaut"/>
    <w:link w:val="Pieddepage"/>
    <w:uiPriority w:val="99"/>
    <w:rsid w:val="004D16E5"/>
  </w:style>
  <w:style w:type="character" w:styleId="Lienhypertexte">
    <w:name w:val="Hyperlink"/>
    <w:basedOn w:val="Policepardfaut"/>
    <w:uiPriority w:val="99"/>
    <w:unhideWhenUsed/>
    <w:rsid w:val="00431161"/>
    <w:rPr>
      <w:color w:val="0563C1" w:themeColor="hyperlink"/>
      <w:u w:val="single"/>
    </w:rPr>
  </w:style>
  <w:style w:type="paragraph" w:styleId="Textedebulles">
    <w:name w:val="Balloon Text"/>
    <w:basedOn w:val="Normal"/>
    <w:link w:val="TextedebullesCar"/>
    <w:uiPriority w:val="99"/>
    <w:semiHidden/>
    <w:unhideWhenUsed/>
    <w:rsid w:val="00105B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5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gelectio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821</Words>
  <Characters>4520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Sauve</dc:creator>
  <cp:keywords/>
  <dc:description/>
  <cp:lastModifiedBy>allan boroday</cp:lastModifiedBy>
  <cp:revision>20</cp:revision>
  <cp:lastPrinted>2022-12-12T19:25:00Z</cp:lastPrinted>
  <dcterms:created xsi:type="dcterms:W3CDTF">2022-11-10T19:27:00Z</dcterms:created>
  <dcterms:modified xsi:type="dcterms:W3CDTF">2022-12-14T19:34:00Z</dcterms:modified>
</cp:coreProperties>
</file>