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0FAFC" w14:textId="44102826" w:rsidR="00EB34B6" w:rsidRDefault="00EB34B6">
      <w:r>
        <w:rPr>
          <w:b/>
          <w:bCs/>
        </w:rPr>
        <w:t>FINANCIAL FAQs</w:t>
      </w:r>
    </w:p>
    <w:p w14:paraId="574C029B" w14:textId="771F870D" w:rsidR="00EB34B6" w:rsidRPr="007D4B44" w:rsidRDefault="00EB34B6" w:rsidP="00EB34B6">
      <w:pPr>
        <w:rPr>
          <w:b/>
          <w:bCs/>
        </w:rPr>
      </w:pPr>
      <w:r w:rsidRPr="007D4B44">
        <w:rPr>
          <w:b/>
          <w:bCs/>
        </w:rPr>
        <w:t>Q1. What are reserves?</w:t>
      </w:r>
    </w:p>
    <w:p w14:paraId="06164B6A" w14:textId="3A1AB58F" w:rsidR="0077683F" w:rsidRDefault="007E2ECF" w:rsidP="0077683F">
      <w:pPr>
        <w:rPr>
          <w:lang w:val="en-GB"/>
        </w:rPr>
      </w:pPr>
      <w:r>
        <w:rPr>
          <w:b/>
          <w:bCs/>
          <w:lang w:val="en-GB"/>
        </w:rPr>
        <w:t xml:space="preserve">Ans.  </w:t>
      </w:r>
      <w:r w:rsidR="00EA2355" w:rsidRPr="008C483B">
        <w:rPr>
          <w:lang w:val="en-GB"/>
        </w:rPr>
        <w:t>A maintenance fee that goes into a fund, called the “Reserve Fund” that will be used to pay for major inevitable repairs in the future</w:t>
      </w:r>
      <w:r w:rsidR="00EA2355">
        <w:rPr>
          <w:lang w:val="en-GB"/>
        </w:rPr>
        <w:t xml:space="preserve">.  </w:t>
      </w:r>
      <w:r w:rsidR="0077683F">
        <w:rPr>
          <w:lang w:val="en-GB"/>
        </w:rPr>
        <w:t>Major repair costs are now required to be paid over time instead of a special assessment.  The annual cost is called the reserve expense</w:t>
      </w:r>
      <w:r w:rsidR="00F54A92">
        <w:rPr>
          <w:lang w:val="en-GB"/>
        </w:rPr>
        <w:t xml:space="preserve"> or reserve cost</w:t>
      </w:r>
      <w:r w:rsidR="0077683F">
        <w:rPr>
          <w:lang w:val="en-GB"/>
        </w:rPr>
        <w:t xml:space="preserve">.  </w:t>
      </w:r>
      <w:r w:rsidR="007835F3">
        <w:rPr>
          <w:lang w:val="en-GB"/>
        </w:rPr>
        <w:t>There are tw</w:t>
      </w:r>
      <w:r w:rsidR="00375175">
        <w:rPr>
          <w:lang w:val="en-GB"/>
        </w:rPr>
        <w:t>o</w:t>
      </w:r>
      <w:r w:rsidR="007835F3">
        <w:rPr>
          <w:lang w:val="en-GB"/>
        </w:rPr>
        <w:t xml:space="preserve"> types of reserves in Florida:</w:t>
      </w:r>
    </w:p>
    <w:p w14:paraId="667A47A7" w14:textId="77777777" w:rsidR="00475DE9" w:rsidRDefault="007835F3" w:rsidP="007835F3">
      <w:pPr>
        <w:pStyle w:val="ListParagraph"/>
        <w:numPr>
          <w:ilvl w:val="0"/>
          <w:numId w:val="2"/>
        </w:numPr>
        <w:rPr>
          <w:lang w:val="en-GB"/>
        </w:rPr>
      </w:pPr>
      <w:r w:rsidRPr="00475DE9">
        <w:rPr>
          <w:lang w:val="en-GB"/>
        </w:rPr>
        <w:t>“SIRS” means Structural Integrity Reserve Study which covers major items like concrete restoration and roof repairs</w:t>
      </w:r>
    </w:p>
    <w:p w14:paraId="5BBC14D9" w14:textId="52F87E06" w:rsidR="00475DE9" w:rsidRPr="00DF72E8" w:rsidRDefault="007835F3" w:rsidP="00475DE9">
      <w:pPr>
        <w:pStyle w:val="ListParagraph"/>
        <w:numPr>
          <w:ilvl w:val="0"/>
          <w:numId w:val="2"/>
        </w:numPr>
      </w:pPr>
      <w:r w:rsidRPr="00475DE9">
        <w:rPr>
          <w:lang w:val="en-GB"/>
        </w:rPr>
        <w:t xml:space="preserve">“Normal” reserves </w:t>
      </w:r>
      <w:r w:rsidR="00475DE9">
        <w:rPr>
          <w:lang w:val="en-GB"/>
        </w:rPr>
        <w:t xml:space="preserve">which </w:t>
      </w:r>
      <w:r w:rsidRPr="00475DE9">
        <w:rPr>
          <w:lang w:val="en-GB"/>
        </w:rPr>
        <w:t>cover items not considered structural but still important like elevators</w:t>
      </w:r>
    </w:p>
    <w:p w14:paraId="6A9D29AD" w14:textId="77777777" w:rsidR="00DF72E8" w:rsidRDefault="00DF72E8" w:rsidP="00DF72E8">
      <w:pPr>
        <w:pStyle w:val="ListParagraph"/>
      </w:pPr>
    </w:p>
    <w:p w14:paraId="15321213" w14:textId="0E688B7E" w:rsidR="00EB34B6" w:rsidRPr="007D4B44" w:rsidRDefault="00EB34B6" w:rsidP="00475DE9">
      <w:pPr>
        <w:rPr>
          <w:b/>
          <w:bCs/>
        </w:rPr>
      </w:pPr>
      <w:r w:rsidRPr="007D4B44">
        <w:rPr>
          <w:b/>
          <w:bCs/>
        </w:rPr>
        <w:t xml:space="preserve">Q2. Why are we paying so much towards the reserves? </w:t>
      </w:r>
    </w:p>
    <w:p w14:paraId="78874FBD" w14:textId="30A3C958" w:rsidR="006E7F1A" w:rsidRDefault="007E2ECF" w:rsidP="003D58CB">
      <w:pPr>
        <w:rPr>
          <w:lang w:val="en-GB"/>
        </w:rPr>
      </w:pPr>
      <w:r>
        <w:rPr>
          <w:b/>
          <w:bCs/>
          <w:lang w:val="en-GB"/>
        </w:rPr>
        <w:t xml:space="preserve">Ans. </w:t>
      </w:r>
      <w:r w:rsidR="006777ED">
        <w:rPr>
          <w:lang w:val="en-GB"/>
        </w:rPr>
        <w:t xml:space="preserve">The cost of repairing </w:t>
      </w:r>
      <w:r w:rsidR="004F74A4">
        <w:rPr>
          <w:lang w:val="en-GB"/>
        </w:rPr>
        <w:t xml:space="preserve">a </w:t>
      </w:r>
      <w:r w:rsidR="006777ED">
        <w:rPr>
          <w:lang w:val="en-GB"/>
        </w:rPr>
        <w:t>major item</w:t>
      </w:r>
      <w:r w:rsidR="004F74A4">
        <w:rPr>
          <w:lang w:val="en-GB"/>
        </w:rPr>
        <w:t xml:space="preserve">, like the roof, </w:t>
      </w:r>
      <w:r w:rsidR="006777ED">
        <w:rPr>
          <w:lang w:val="en-GB"/>
        </w:rPr>
        <w:t xml:space="preserve">was always there, it was </w:t>
      </w:r>
      <w:r w:rsidR="00153C04">
        <w:rPr>
          <w:lang w:val="en-GB"/>
        </w:rPr>
        <w:t xml:space="preserve">just </w:t>
      </w:r>
      <w:r w:rsidR="006777ED">
        <w:rPr>
          <w:lang w:val="en-GB"/>
        </w:rPr>
        <w:t xml:space="preserve">not </w:t>
      </w:r>
      <w:r w:rsidR="00153C04">
        <w:rPr>
          <w:lang w:val="en-GB"/>
        </w:rPr>
        <w:t xml:space="preserve">visible </w:t>
      </w:r>
      <w:r w:rsidR="00D97C6F">
        <w:rPr>
          <w:lang w:val="en-GB"/>
        </w:rPr>
        <w:t xml:space="preserve">to owners </w:t>
      </w:r>
      <w:r w:rsidR="00153C04">
        <w:rPr>
          <w:lang w:val="en-GB"/>
        </w:rPr>
        <w:t>until a special assessment was needed to pay for it</w:t>
      </w:r>
      <w:r w:rsidR="00A52A66">
        <w:rPr>
          <w:lang w:val="en-GB"/>
        </w:rPr>
        <w:t>.</w:t>
      </w:r>
      <w:r w:rsidR="00153C04">
        <w:rPr>
          <w:lang w:val="en-GB"/>
        </w:rPr>
        <w:t xml:space="preserve"> </w:t>
      </w:r>
      <w:r w:rsidR="00A52A66">
        <w:rPr>
          <w:lang w:val="en-GB"/>
        </w:rPr>
        <w:t xml:space="preserve"> </w:t>
      </w:r>
      <w:r w:rsidR="00D97C6F">
        <w:rPr>
          <w:lang w:val="en-GB"/>
        </w:rPr>
        <w:t>The g</w:t>
      </w:r>
      <w:r w:rsidR="00D97C6F" w:rsidRPr="008C483B">
        <w:rPr>
          <w:lang w:val="en-GB"/>
        </w:rPr>
        <w:t>oal of the Reserve Fund is to accumulate enough cash to pay all major repairs when they occur without using a special assessment</w:t>
      </w:r>
      <w:r w:rsidR="00D97C6F">
        <w:rPr>
          <w:lang w:val="en-GB"/>
        </w:rPr>
        <w:t xml:space="preserve">.  </w:t>
      </w:r>
      <w:r w:rsidR="003278EE">
        <w:rPr>
          <w:lang w:val="en-GB"/>
        </w:rPr>
        <w:t>So</w:t>
      </w:r>
      <w:r w:rsidR="00DE0598">
        <w:rPr>
          <w:lang w:val="en-GB"/>
        </w:rPr>
        <w:t>,</w:t>
      </w:r>
      <w:r w:rsidR="003278EE">
        <w:rPr>
          <w:lang w:val="en-GB"/>
        </w:rPr>
        <w:t xml:space="preserve"> t</w:t>
      </w:r>
      <w:r w:rsidR="00D97C6F">
        <w:rPr>
          <w:lang w:val="en-GB"/>
        </w:rPr>
        <w:t xml:space="preserve">he reserve cost replaces the </w:t>
      </w:r>
      <w:r w:rsidR="00D97C6F" w:rsidRPr="008C483B">
        <w:rPr>
          <w:lang w:val="en-GB"/>
        </w:rPr>
        <w:t>special assessment</w:t>
      </w:r>
      <w:r w:rsidR="00D97C6F">
        <w:rPr>
          <w:lang w:val="en-GB"/>
        </w:rPr>
        <w:t xml:space="preserve">s to some extent.  </w:t>
      </w:r>
      <w:r w:rsidR="00EC641B">
        <w:rPr>
          <w:lang w:val="en-GB"/>
        </w:rPr>
        <w:t>The reserve basically changes the timing of when owner have to pay, a</w:t>
      </w:r>
      <w:r w:rsidR="00AA7866">
        <w:rPr>
          <w:lang w:val="en-GB"/>
        </w:rPr>
        <w:t xml:space="preserve">n </w:t>
      </w:r>
      <w:r w:rsidR="004B2352">
        <w:rPr>
          <w:lang w:val="en-GB"/>
        </w:rPr>
        <w:t xml:space="preserve">amount over several years </w:t>
      </w:r>
      <w:r w:rsidR="00E319E9">
        <w:rPr>
          <w:lang w:val="en-GB"/>
        </w:rPr>
        <w:t xml:space="preserve">now </w:t>
      </w:r>
      <w:r w:rsidR="00032B3D">
        <w:rPr>
          <w:lang w:val="en-GB"/>
        </w:rPr>
        <w:t xml:space="preserve">into a Reserve Fund </w:t>
      </w:r>
      <w:r w:rsidR="00EC641B">
        <w:rPr>
          <w:lang w:val="en-GB"/>
        </w:rPr>
        <w:t xml:space="preserve">or </w:t>
      </w:r>
      <w:r w:rsidR="004B2352">
        <w:rPr>
          <w:lang w:val="en-GB"/>
        </w:rPr>
        <w:t>big</w:t>
      </w:r>
      <w:r w:rsidR="00DD1C4A">
        <w:rPr>
          <w:lang w:val="en-GB"/>
        </w:rPr>
        <w:t>ger</w:t>
      </w:r>
      <w:r w:rsidR="004B2352">
        <w:rPr>
          <w:lang w:val="en-GB"/>
        </w:rPr>
        <w:t xml:space="preserve"> amount</w:t>
      </w:r>
      <w:r w:rsidR="00DD1C4A">
        <w:rPr>
          <w:lang w:val="en-GB"/>
        </w:rPr>
        <w:t>s</w:t>
      </w:r>
      <w:r w:rsidR="004B2352">
        <w:rPr>
          <w:lang w:val="en-GB"/>
        </w:rPr>
        <w:t xml:space="preserve"> </w:t>
      </w:r>
      <w:r w:rsidR="00EC641B">
        <w:rPr>
          <w:lang w:val="en-GB"/>
        </w:rPr>
        <w:t>later</w:t>
      </w:r>
      <w:r w:rsidR="00E319E9">
        <w:rPr>
          <w:lang w:val="en-GB"/>
        </w:rPr>
        <w:t xml:space="preserve"> in special assessment</w:t>
      </w:r>
      <w:r w:rsidR="00DD1C4A">
        <w:rPr>
          <w:lang w:val="en-GB"/>
        </w:rPr>
        <w:t>s</w:t>
      </w:r>
      <w:r w:rsidR="00EC641B">
        <w:rPr>
          <w:lang w:val="en-GB"/>
        </w:rPr>
        <w:t xml:space="preserve">. </w:t>
      </w:r>
    </w:p>
    <w:p w14:paraId="11C0F73D" w14:textId="13FDA312" w:rsidR="009D4F46" w:rsidRDefault="00A52A66" w:rsidP="003D58CB">
      <w:pPr>
        <w:rPr>
          <w:lang w:val="en-GB"/>
        </w:rPr>
      </w:pPr>
      <w:r>
        <w:rPr>
          <w:lang w:val="en-GB"/>
        </w:rPr>
        <w:t>The Florida statu</w:t>
      </w:r>
      <w:r w:rsidR="008C69B5">
        <w:rPr>
          <w:lang w:val="en-GB"/>
        </w:rPr>
        <w:t>te</w:t>
      </w:r>
      <w:r>
        <w:rPr>
          <w:lang w:val="en-GB"/>
        </w:rPr>
        <w:t xml:space="preserve">s in section #718 now requires condo associations like LCG to </w:t>
      </w:r>
      <w:r w:rsidR="006D0BA7">
        <w:rPr>
          <w:lang w:val="en-GB"/>
        </w:rPr>
        <w:t>use reserve costs instead of special assessments</w:t>
      </w:r>
      <w:r w:rsidR="00657284">
        <w:rPr>
          <w:lang w:val="en-GB"/>
        </w:rPr>
        <w:t xml:space="preserve">.  It also </w:t>
      </w:r>
      <w:r w:rsidR="0072104D">
        <w:rPr>
          <w:lang w:val="en-GB"/>
        </w:rPr>
        <w:t xml:space="preserve">removes the option </w:t>
      </w:r>
      <w:r w:rsidR="004D0FC1">
        <w:rPr>
          <w:lang w:val="en-GB"/>
        </w:rPr>
        <w:t xml:space="preserve">that </w:t>
      </w:r>
      <w:r w:rsidR="00BF31C0">
        <w:rPr>
          <w:lang w:val="en-GB"/>
        </w:rPr>
        <w:t xml:space="preserve">owners could waive by voting </w:t>
      </w:r>
      <w:r w:rsidR="004D0FC1">
        <w:rPr>
          <w:lang w:val="en-GB"/>
        </w:rPr>
        <w:t xml:space="preserve">the </w:t>
      </w:r>
      <w:r w:rsidR="00C81497">
        <w:rPr>
          <w:lang w:val="en-GB"/>
        </w:rPr>
        <w:t>re</w:t>
      </w:r>
      <w:r w:rsidR="004D0FC1">
        <w:rPr>
          <w:lang w:val="en-GB"/>
        </w:rPr>
        <w:t xml:space="preserve">serve </w:t>
      </w:r>
      <w:r w:rsidR="00190FEA">
        <w:rPr>
          <w:lang w:val="en-GB"/>
        </w:rPr>
        <w:t xml:space="preserve">costs </w:t>
      </w:r>
      <w:r w:rsidR="00C81497">
        <w:rPr>
          <w:lang w:val="en-GB"/>
        </w:rPr>
        <w:t xml:space="preserve">for the “SIRS” </w:t>
      </w:r>
      <w:r w:rsidR="00657284">
        <w:rPr>
          <w:lang w:val="en-GB"/>
        </w:rPr>
        <w:t>portion</w:t>
      </w:r>
      <w:r w:rsidR="0083160E">
        <w:rPr>
          <w:lang w:val="en-GB"/>
        </w:rPr>
        <w:t>.  It</w:t>
      </w:r>
      <w:r w:rsidR="00657284">
        <w:rPr>
          <w:lang w:val="en-GB"/>
        </w:rPr>
        <w:t xml:space="preserve"> </w:t>
      </w:r>
      <w:r w:rsidR="00190FEA">
        <w:rPr>
          <w:lang w:val="en-GB"/>
        </w:rPr>
        <w:t xml:space="preserve">can no longer be </w:t>
      </w:r>
      <w:r w:rsidR="0083160E">
        <w:rPr>
          <w:lang w:val="en-GB"/>
        </w:rPr>
        <w:t xml:space="preserve">partially </w:t>
      </w:r>
      <w:r w:rsidR="00211967">
        <w:rPr>
          <w:lang w:val="en-GB"/>
        </w:rPr>
        <w:t xml:space="preserve">funded at 3% or 5% </w:t>
      </w:r>
      <w:r w:rsidR="00190FEA">
        <w:rPr>
          <w:lang w:val="en-GB"/>
        </w:rPr>
        <w:t>by a vote of the owners</w:t>
      </w:r>
      <w:r w:rsidR="0083160E">
        <w:rPr>
          <w:lang w:val="en-GB"/>
        </w:rPr>
        <w:t xml:space="preserve"> as we had done in the past</w:t>
      </w:r>
      <w:r w:rsidR="00D97C6F">
        <w:rPr>
          <w:lang w:val="en-GB"/>
        </w:rPr>
        <w:t xml:space="preserve">.  </w:t>
      </w:r>
      <w:r w:rsidR="00BC5960">
        <w:rPr>
          <w:lang w:val="en-GB"/>
        </w:rPr>
        <w:t xml:space="preserve">This means that </w:t>
      </w:r>
      <w:r w:rsidR="00944A8C">
        <w:rPr>
          <w:lang w:val="en-GB"/>
        </w:rPr>
        <w:t xml:space="preserve">we cannot use </w:t>
      </w:r>
      <w:r w:rsidR="00DB1BA7">
        <w:rPr>
          <w:lang w:val="en-GB"/>
        </w:rPr>
        <w:t xml:space="preserve">special assessments for “SIRS” repairs anymore.   </w:t>
      </w:r>
      <w:r w:rsidR="00C46589">
        <w:rPr>
          <w:lang w:val="en-GB"/>
        </w:rPr>
        <w:t xml:space="preserve">It also means that </w:t>
      </w:r>
      <w:r w:rsidR="009D4F46">
        <w:rPr>
          <w:lang w:val="en-GB"/>
        </w:rPr>
        <w:t xml:space="preserve">when a condo association like </w:t>
      </w:r>
      <w:r w:rsidR="00944A8C">
        <w:rPr>
          <w:lang w:val="en-GB"/>
        </w:rPr>
        <w:t>L</w:t>
      </w:r>
      <w:r w:rsidR="009D4F46">
        <w:rPr>
          <w:lang w:val="en-GB"/>
        </w:rPr>
        <w:t xml:space="preserve">CG did not fully fund its reserves, it now has to catch up for missing payments, we call this the </w:t>
      </w:r>
      <w:r w:rsidR="008742AF">
        <w:rPr>
          <w:lang w:val="en-GB"/>
        </w:rPr>
        <w:t>“</w:t>
      </w:r>
      <w:r w:rsidR="009D4F46">
        <w:rPr>
          <w:lang w:val="en-GB"/>
        </w:rPr>
        <w:t>reserve shortfall</w:t>
      </w:r>
      <w:r w:rsidR="008742AF">
        <w:rPr>
          <w:lang w:val="en-GB"/>
        </w:rPr>
        <w:t>”</w:t>
      </w:r>
      <w:r w:rsidR="009D4F46">
        <w:rPr>
          <w:lang w:val="en-GB"/>
        </w:rPr>
        <w:t>.</w:t>
      </w:r>
    </w:p>
    <w:p w14:paraId="3E92247A" w14:textId="1C740E47" w:rsidR="00263E9B" w:rsidRDefault="008C69B5" w:rsidP="00263E9B">
      <w:pPr>
        <w:rPr>
          <w:lang w:val="en-GB"/>
        </w:rPr>
      </w:pPr>
      <w:r>
        <w:rPr>
          <w:lang w:val="en-GB"/>
        </w:rPr>
        <w:t>For LCG, t</w:t>
      </w:r>
      <w:r w:rsidR="00263E9B">
        <w:rPr>
          <w:lang w:val="en-GB"/>
        </w:rPr>
        <w:t xml:space="preserve">he </w:t>
      </w:r>
      <w:r w:rsidR="008D73CE">
        <w:rPr>
          <w:lang w:val="en-GB"/>
        </w:rPr>
        <w:t>“</w:t>
      </w:r>
      <w:r w:rsidR="00263E9B">
        <w:rPr>
          <w:lang w:val="en-GB"/>
        </w:rPr>
        <w:t>SIRS</w:t>
      </w:r>
      <w:r w:rsidR="008D73CE">
        <w:rPr>
          <w:lang w:val="en-GB"/>
        </w:rPr>
        <w:t>”</w:t>
      </w:r>
      <w:r w:rsidR="00263E9B">
        <w:rPr>
          <w:lang w:val="en-GB"/>
        </w:rPr>
        <w:t xml:space="preserve"> portion of reserves has to be</w:t>
      </w:r>
      <w:r w:rsidR="00E83FC1">
        <w:rPr>
          <w:lang w:val="en-GB"/>
        </w:rPr>
        <w:t xml:space="preserve"> </w:t>
      </w:r>
      <w:r w:rsidR="00564AAA">
        <w:rPr>
          <w:lang w:val="en-GB"/>
        </w:rPr>
        <w:t>100%</w:t>
      </w:r>
      <w:r w:rsidR="00E83FC1">
        <w:rPr>
          <w:lang w:val="en-GB"/>
        </w:rPr>
        <w:t xml:space="preserve"> funded by 30 June 2026</w:t>
      </w:r>
      <w:r w:rsidR="00263E9B">
        <w:rPr>
          <w:lang w:val="en-GB"/>
        </w:rPr>
        <w:t>.</w:t>
      </w:r>
      <w:r>
        <w:rPr>
          <w:lang w:val="en-GB"/>
        </w:rPr>
        <w:t xml:space="preserve">  </w:t>
      </w:r>
    </w:p>
    <w:p w14:paraId="47A8C4EE" w14:textId="0E1AFE4F" w:rsidR="00EB34B6" w:rsidRPr="00DF72E8" w:rsidRDefault="002A4377" w:rsidP="00EB34B6">
      <w:pPr>
        <w:rPr>
          <w:lang w:val="en-GB"/>
        </w:rPr>
      </w:pPr>
      <w:r>
        <w:rPr>
          <w:kern w:val="0"/>
          <w:lang w:val="en-GB"/>
          <w14:ligatures w14:val="none"/>
        </w:rPr>
        <w:t xml:space="preserve">The reserve costs have increased dramatically for all condos in Florida, not just for LCG, because most condos need to catch up for </w:t>
      </w:r>
      <w:r w:rsidR="00F609A0">
        <w:rPr>
          <w:kern w:val="0"/>
          <w:lang w:val="en-GB"/>
          <w14:ligatures w14:val="none"/>
        </w:rPr>
        <w:t xml:space="preserve">several years of </w:t>
      </w:r>
      <w:r>
        <w:rPr>
          <w:kern w:val="0"/>
          <w:lang w:val="en-GB"/>
          <w14:ligatures w14:val="none"/>
        </w:rPr>
        <w:t xml:space="preserve">missing payments.  </w:t>
      </w:r>
    </w:p>
    <w:p w14:paraId="495ABE90" w14:textId="77777777" w:rsidR="00EB34B6" w:rsidRPr="00355CAB" w:rsidRDefault="00EB34B6" w:rsidP="00EB34B6">
      <w:pPr>
        <w:rPr>
          <w:lang w:val="en-GB"/>
        </w:rPr>
      </w:pPr>
    </w:p>
    <w:p w14:paraId="49BD5A4E" w14:textId="41B4D717" w:rsidR="003149FA" w:rsidRPr="00EF6CD2" w:rsidRDefault="003149FA" w:rsidP="00EB34B6">
      <w:pPr>
        <w:rPr>
          <w:b/>
          <w:bCs/>
        </w:rPr>
      </w:pPr>
      <w:r w:rsidRPr="00EF6CD2">
        <w:rPr>
          <w:b/>
          <w:bCs/>
        </w:rPr>
        <w:t>Q</w:t>
      </w:r>
      <w:r w:rsidR="00183404">
        <w:rPr>
          <w:b/>
          <w:bCs/>
        </w:rPr>
        <w:t>3</w:t>
      </w:r>
      <w:r w:rsidRPr="00EF6CD2">
        <w:rPr>
          <w:b/>
          <w:bCs/>
        </w:rPr>
        <w:t>.  Will the reserves be held in separate accounts for each building instead of jointly?</w:t>
      </w:r>
    </w:p>
    <w:p w14:paraId="5686275A" w14:textId="4C5B7A78" w:rsidR="00802378" w:rsidRDefault="003149FA" w:rsidP="00923D27">
      <w:r w:rsidRPr="007E2ECF">
        <w:rPr>
          <w:b/>
          <w:bCs/>
        </w:rPr>
        <w:t>Ans</w:t>
      </w:r>
      <w:r>
        <w:t>.</w:t>
      </w:r>
      <w:r w:rsidR="00514F61">
        <w:t xml:space="preserve"> </w:t>
      </w:r>
      <w:r w:rsidR="00514F61" w:rsidRPr="00183404">
        <w:t xml:space="preserve">The reserves are held in separate ledger accounts for each building so that </w:t>
      </w:r>
      <w:r w:rsidR="001C2468" w:rsidRPr="00183404">
        <w:t xml:space="preserve">each building </w:t>
      </w:r>
      <w:r w:rsidR="00BF726D" w:rsidRPr="00183404">
        <w:t>is</w:t>
      </w:r>
      <w:r w:rsidR="001C2468" w:rsidRPr="00183404">
        <w:t xml:space="preserve"> easily accounted for. </w:t>
      </w:r>
      <w:r w:rsidR="00435875" w:rsidRPr="00183404">
        <w:t xml:space="preserve"> </w:t>
      </w:r>
      <w:r w:rsidR="001C2468" w:rsidRPr="00183404">
        <w:t xml:space="preserve">They are not in separate bank accounts </w:t>
      </w:r>
      <w:r w:rsidR="00780E15" w:rsidRPr="00183404">
        <w:t>as having 26</w:t>
      </w:r>
      <w:r w:rsidR="0010108E" w:rsidRPr="00183404">
        <w:t xml:space="preserve"> </w:t>
      </w:r>
      <w:r w:rsidR="0010108E" w:rsidRPr="00183404">
        <w:lastRenderedPageBreak/>
        <w:t xml:space="preserve">additional bank accounts </w:t>
      </w:r>
      <w:r w:rsidR="0092101C" w:rsidRPr="00183404">
        <w:t xml:space="preserve">would </w:t>
      </w:r>
      <w:r w:rsidR="0010108E" w:rsidRPr="00183404">
        <w:t xml:space="preserve">be </w:t>
      </w:r>
      <w:r w:rsidR="00923D27" w:rsidRPr="00183404">
        <w:t xml:space="preserve">difficult </w:t>
      </w:r>
      <w:r w:rsidR="0092101C" w:rsidRPr="00183404">
        <w:t xml:space="preserve">to manage </w:t>
      </w:r>
      <w:r w:rsidR="0010108E" w:rsidRPr="00183404">
        <w:t xml:space="preserve">for us and </w:t>
      </w:r>
      <w:r w:rsidR="00C80DFA" w:rsidRPr="00183404">
        <w:t xml:space="preserve">for </w:t>
      </w:r>
      <w:r w:rsidR="0010108E" w:rsidRPr="00183404">
        <w:t>the banks. We are currently seeking to consolida</w:t>
      </w:r>
      <w:r w:rsidR="00B91DC5" w:rsidRPr="00183404">
        <w:t>te the several accounts we already have, to attract higher interest rates.</w:t>
      </w:r>
      <w:r w:rsidR="00923D27">
        <w:t xml:space="preserve">  </w:t>
      </w:r>
      <w:r w:rsidR="00802378">
        <w:t xml:space="preserve">There are no transfers or cross subsidy between </w:t>
      </w:r>
      <w:r w:rsidR="00230173">
        <w:t xml:space="preserve">any </w:t>
      </w:r>
      <w:r w:rsidR="00802378">
        <w:t>buildings.</w:t>
      </w:r>
    </w:p>
    <w:p w14:paraId="58973E1C" w14:textId="457F3B89" w:rsidR="00F14120" w:rsidRDefault="00923D27" w:rsidP="00923D27">
      <w:r>
        <w:t xml:space="preserve">Only common areas expenses </w:t>
      </w:r>
      <w:r w:rsidR="00F14120">
        <w:t xml:space="preserve">and </w:t>
      </w:r>
      <w:r>
        <w:t>reserves are shared by everyone.</w:t>
      </w:r>
    </w:p>
    <w:p w14:paraId="345139D0" w14:textId="77777777" w:rsidR="00802378" w:rsidRDefault="00802378" w:rsidP="00923D27"/>
    <w:p w14:paraId="2B740BC6" w14:textId="75B74D3B" w:rsidR="003149FA" w:rsidRPr="00895A70" w:rsidRDefault="003149FA" w:rsidP="00EB34B6">
      <w:pPr>
        <w:rPr>
          <w:b/>
          <w:bCs/>
        </w:rPr>
      </w:pPr>
      <w:r w:rsidRPr="00895A70">
        <w:rPr>
          <w:b/>
          <w:bCs/>
        </w:rPr>
        <w:t>Q</w:t>
      </w:r>
      <w:r w:rsidR="007D331A">
        <w:rPr>
          <w:b/>
          <w:bCs/>
        </w:rPr>
        <w:t>4</w:t>
      </w:r>
      <w:r w:rsidRPr="00895A70">
        <w:rPr>
          <w:b/>
          <w:bCs/>
        </w:rPr>
        <w:t>. Will the funds be maintained in interest-bearing insured accounts?</w:t>
      </w:r>
    </w:p>
    <w:p w14:paraId="10C21B3A" w14:textId="4E83FD38" w:rsidR="003149FA" w:rsidRPr="007D331A" w:rsidRDefault="003149FA" w:rsidP="00EB34B6">
      <w:r w:rsidRPr="007E2ECF">
        <w:rPr>
          <w:b/>
          <w:bCs/>
        </w:rPr>
        <w:t>Ans</w:t>
      </w:r>
      <w:r>
        <w:t>.</w:t>
      </w:r>
      <w:r w:rsidR="00B91DC5">
        <w:t xml:space="preserve"> </w:t>
      </w:r>
      <w:r w:rsidR="00195C4F" w:rsidRPr="007D331A">
        <w:t xml:space="preserve">Yes, they will. </w:t>
      </w:r>
      <w:r w:rsidR="00BE2A4A" w:rsidRPr="007D331A">
        <w:t>We</w:t>
      </w:r>
      <w:r w:rsidR="008069A5" w:rsidRPr="007D331A">
        <w:t xml:space="preserve"> are working to obtain </w:t>
      </w:r>
      <w:r w:rsidR="005062F9" w:rsidRPr="007D331A">
        <w:t>the benefits of</w:t>
      </w:r>
      <w:r w:rsidR="00BE2A4A" w:rsidRPr="007D331A">
        <w:t xml:space="preserve"> association banking</w:t>
      </w:r>
      <w:r w:rsidR="000D0B81" w:rsidRPr="007D331A">
        <w:t>:</w:t>
      </w:r>
      <w:r w:rsidR="005062F9" w:rsidRPr="007D331A">
        <w:t xml:space="preserve"> </w:t>
      </w:r>
      <w:r w:rsidR="003234E1" w:rsidRPr="007D331A">
        <w:t xml:space="preserve">higher </w:t>
      </w:r>
      <w:r w:rsidR="005062F9" w:rsidRPr="007D331A">
        <w:t>intere</w:t>
      </w:r>
      <w:r w:rsidR="008041E4" w:rsidRPr="007D331A">
        <w:t xml:space="preserve">st and </w:t>
      </w:r>
      <w:r w:rsidR="006964BE" w:rsidRPr="007D331A">
        <w:t xml:space="preserve">better </w:t>
      </w:r>
      <w:r w:rsidR="005062F9" w:rsidRPr="007D331A">
        <w:t>protection</w:t>
      </w:r>
      <w:r w:rsidR="007D331A" w:rsidRPr="007D331A">
        <w:t xml:space="preserve"> than we have now.</w:t>
      </w:r>
      <w:r w:rsidR="005062F9" w:rsidRPr="007D331A">
        <w:t xml:space="preserve"> </w:t>
      </w:r>
      <w:r w:rsidR="00E900F8" w:rsidRPr="007D331A">
        <w:t xml:space="preserve"> </w:t>
      </w:r>
      <w:r w:rsidR="005062F9" w:rsidRPr="007D331A">
        <w:t xml:space="preserve">We are currently completing </w:t>
      </w:r>
      <w:r w:rsidR="002F5190" w:rsidRPr="007D331A">
        <w:t xml:space="preserve">an </w:t>
      </w:r>
      <w:r w:rsidR="005062F9" w:rsidRPr="007D331A">
        <w:t xml:space="preserve">application to an Association Bank </w:t>
      </w:r>
      <w:r w:rsidR="00E455B0" w:rsidRPr="007D331A">
        <w:t>(Centennial Bank)</w:t>
      </w:r>
      <w:r w:rsidR="002F5190" w:rsidRPr="007D331A">
        <w:t xml:space="preserve"> </w:t>
      </w:r>
      <w:r w:rsidR="005062F9" w:rsidRPr="007D331A">
        <w:t xml:space="preserve">and will shortly be transferring </w:t>
      </w:r>
      <w:r w:rsidR="008039DA" w:rsidRPr="007D331A">
        <w:t>our Reserve F</w:t>
      </w:r>
      <w:r w:rsidR="005062F9" w:rsidRPr="007D331A">
        <w:t xml:space="preserve">unds. </w:t>
      </w:r>
      <w:r w:rsidR="002F5190" w:rsidRPr="007D331A">
        <w:t xml:space="preserve"> </w:t>
      </w:r>
      <w:r w:rsidR="00CE7FE1" w:rsidRPr="007D331A">
        <w:t xml:space="preserve">In the </w:t>
      </w:r>
      <w:r w:rsidR="003E46E8" w:rsidRPr="007D331A">
        <w:t>meantime</w:t>
      </w:r>
      <w:r w:rsidR="003D4B12" w:rsidRPr="007D331A">
        <w:t xml:space="preserve">, we have moved funds to a CD and started collecting </w:t>
      </w:r>
      <w:r w:rsidR="00CE7FE1" w:rsidRPr="007D331A">
        <w:t xml:space="preserve">competitive </w:t>
      </w:r>
      <w:r w:rsidR="003D4B12" w:rsidRPr="007D331A">
        <w:t>interest each month o</w:t>
      </w:r>
      <w:r w:rsidR="005765D5" w:rsidRPr="007D331A">
        <w:t>n</w:t>
      </w:r>
      <w:r w:rsidR="003D4B12" w:rsidRPr="007D331A">
        <w:t xml:space="preserve"> $150,000.</w:t>
      </w:r>
      <w:r w:rsidR="00BC72A0" w:rsidRPr="007D331A">
        <w:t xml:space="preserve">  All buildings </w:t>
      </w:r>
      <w:r w:rsidR="00F052BB" w:rsidRPr="007D331A">
        <w:t xml:space="preserve">have and </w:t>
      </w:r>
      <w:r w:rsidR="00BC72A0" w:rsidRPr="007D331A">
        <w:t xml:space="preserve">will receive the same interest rates on their </w:t>
      </w:r>
      <w:r w:rsidR="00F052BB" w:rsidRPr="007D331A">
        <w:t xml:space="preserve">respective </w:t>
      </w:r>
      <w:r w:rsidR="00BC72A0" w:rsidRPr="007D331A">
        <w:t>Reserve Fund.</w:t>
      </w:r>
    </w:p>
    <w:p w14:paraId="071A50F6" w14:textId="77777777" w:rsidR="009471CF" w:rsidRPr="007D331A" w:rsidRDefault="009471CF" w:rsidP="00EB34B6"/>
    <w:p w14:paraId="699283EC" w14:textId="213238F0" w:rsidR="003149FA" w:rsidRPr="009E5FAC" w:rsidRDefault="003149FA" w:rsidP="00EB34B6">
      <w:pPr>
        <w:rPr>
          <w:b/>
          <w:bCs/>
        </w:rPr>
      </w:pPr>
      <w:r w:rsidRPr="009E5FAC">
        <w:rPr>
          <w:b/>
          <w:bCs/>
        </w:rPr>
        <w:t>Q</w:t>
      </w:r>
      <w:r w:rsidR="00B41EBE">
        <w:rPr>
          <w:b/>
          <w:bCs/>
        </w:rPr>
        <w:t>5</w:t>
      </w:r>
      <w:r w:rsidRPr="009E5FAC">
        <w:rPr>
          <w:b/>
          <w:bCs/>
        </w:rPr>
        <w:t>. Who will oversee the management and security of the Association’s reserves?</w:t>
      </w:r>
    </w:p>
    <w:p w14:paraId="07008943" w14:textId="1B9CDCE9" w:rsidR="002C20E9" w:rsidRPr="00B41EBE" w:rsidRDefault="003149FA" w:rsidP="00EB34B6">
      <w:r w:rsidRPr="00A36846">
        <w:rPr>
          <w:b/>
          <w:bCs/>
        </w:rPr>
        <w:t>Ans</w:t>
      </w:r>
      <w:r>
        <w:t>.</w:t>
      </w:r>
      <w:r w:rsidR="00D7781D">
        <w:t xml:space="preserve"> </w:t>
      </w:r>
      <w:r w:rsidR="00863D2B" w:rsidRPr="00B41EBE">
        <w:t xml:space="preserve">The Board is responsible for the management of  the Association’s reserves, as they do for all of our financial and physical assets.  </w:t>
      </w:r>
      <w:r w:rsidR="002A64E4" w:rsidRPr="00B41EBE">
        <w:t xml:space="preserve">The Board may choose to form a </w:t>
      </w:r>
      <w:r w:rsidR="008A7E3C" w:rsidRPr="00B41EBE">
        <w:t xml:space="preserve">new LCG </w:t>
      </w:r>
      <w:r w:rsidR="008833AB" w:rsidRPr="00B41EBE">
        <w:t>C</w:t>
      </w:r>
      <w:r w:rsidR="002A64E4" w:rsidRPr="00B41EBE">
        <w:t xml:space="preserve">ommittee </w:t>
      </w:r>
      <w:r w:rsidR="008A7E3C" w:rsidRPr="00B41EBE">
        <w:t xml:space="preserve">and to delegate </w:t>
      </w:r>
      <w:r w:rsidR="003E60F8" w:rsidRPr="00B41EBE">
        <w:t xml:space="preserve">some </w:t>
      </w:r>
      <w:r w:rsidR="00EA5CAF" w:rsidRPr="00B41EBE">
        <w:t xml:space="preserve">of </w:t>
      </w:r>
      <w:r w:rsidR="009649BD" w:rsidRPr="00B41EBE">
        <w:t>the</w:t>
      </w:r>
      <w:r w:rsidR="00EA5CAF" w:rsidRPr="00B41EBE">
        <w:t xml:space="preserve"> </w:t>
      </w:r>
      <w:r w:rsidR="00863D2B" w:rsidRPr="00B41EBE">
        <w:t xml:space="preserve">investment </w:t>
      </w:r>
      <w:r w:rsidR="005809E7" w:rsidRPr="00B41EBE">
        <w:t>work</w:t>
      </w:r>
      <w:r w:rsidR="00863D2B" w:rsidRPr="00B41EBE">
        <w:t xml:space="preserve"> to the Committee but the Board </w:t>
      </w:r>
      <w:r w:rsidR="008833AB" w:rsidRPr="00B41EBE">
        <w:t>retains ultimate authority regarding all decisions</w:t>
      </w:r>
      <w:r w:rsidR="00EA5CAF" w:rsidRPr="00B41EBE">
        <w:t xml:space="preserve">.  </w:t>
      </w:r>
      <w:r w:rsidR="00EF21AE" w:rsidRPr="00B41EBE">
        <w:t xml:space="preserve">By voting for </w:t>
      </w:r>
      <w:r w:rsidR="00E248CD" w:rsidRPr="00B41EBE">
        <w:t xml:space="preserve">individual </w:t>
      </w:r>
      <w:r w:rsidR="00EF21AE" w:rsidRPr="00B41EBE">
        <w:t>Board members</w:t>
      </w:r>
      <w:r w:rsidR="00E248CD" w:rsidRPr="00B41EBE">
        <w:t xml:space="preserve"> each year</w:t>
      </w:r>
      <w:r w:rsidR="00EF21AE" w:rsidRPr="00B41EBE">
        <w:t>, owners have a say in the management of the funds.</w:t>
      </w:r>
      <w:r w:rsidR="003E60F8" w:rsidRPr="00B41EBE">
        <w:t xml:space="preserve"> </w:t>
      </w:r>
    </w:p>
    <w:p w14:paraId="26F12609" w14:textId="6BD39595" w:rsidR="002C20E9" w:rsidRDefault="00305366" w:rsidP="00EB34B6">
      <w:pPr>
        <w:rPr>
          <w:i/>
          <w:iCs/>
        </w:rPr>
      </w:pPr>
      <w:r w:rsidRPr="00B41EBE">
        <w:t xml:space="preserve">The Finance Committee </w:t>
      </w:r>
      <w:r w:rsidR="00A958DF" w:rsidRPr="00B41EBE">
        <w:t>will report</w:t>
      </w:r>
      <w:r w:rsidR="00FD5B72" w:rsidRPr="00B41EBE">
        <w:t>,</w:t>
      </w:r>
      <w:r w:rsidR="00A958DF" w:rsidRPr="00B41EBE">
        <w:t xml:space="preserve"> at least annually in your budget documents</w:t>
      </w:r>
      <w:r w:rsidR="00FD5B72" w:rsidRPr="00B41EBE">
        <w:t>,</w:t>
      </w:r>
      <w:r w:rsidR="00A958DF" w:rsidRPr="00B41EBE">
        <w:t xml:space="preserve"> the </w:t>
      </w:r>
      <w:r w:rsidR="00895D8C" w:rsidRPr="00B41EBE">
        <w:t xml:space="preserve">investment income or </w:t>
      </w:r>
      <w:r w:rsidR="00A958DF" w:rsidRPr="00B41EBE">
        <w:t xml:space="preserve">interest earned </w:t>
      </w:r>
      <w:r w:rsidR="00FD5B72" w:rsidRPr="00B41EBE">
        <w:t>in the Reserve Funds.  Furthermore, o</w:t>
      </w:r>
      <w:r w:rsidR="00987032" w:rsidRPr="00B41EBE">
        <w:t>ur finances are subject each year to the careful scrutiny of an independent auditor</w:t>
      </w:r>
      <w:r w:rsidR="004E3D4E" w:rsidRPr="00B41EBE">
        <w:t xml:space="preserve"> who reports to the authorities.</w:t>
      </w:r>
      <w:r w:rsidR="004E3D4E">
        <w:rPr>
          <w:i/>
          <w:iCs/>
        </w:rPr>
        <w:t xml:space="preserve"> </w:t>
      </w:r>
    </w:p>
    <w:p w14:paraId="7DB526AD" w14:textId="77777777" w:rsidR="009471CF" w:rsidRDefault="009471CF" w:rsidP="00EB34B6"/>
    <w:p w14:paraId="5E60D48F" w14:textId="2DD6A527" w:rsidR="003149FA" w:rsidRPr="009E5FAC" w:rsidRDefault="003149FA" w:rsidP="00EB34B6">
      <w:pPr>
        <w:rPr>
          <w:b/>
          <w:bCs/>
        </w:rPr>
      </w:pPr>
      <w:r w:rsidRPr="009E5FAC">
        <w:rPr>
          <w:b/>
          <w:bCs/>
        </w:rPr>
        <w:t>Q</w:t>
      </w:r>
      <w:r w:rsidR="00B41EBE">
        <w:rPr>
          <w:b/>
          <w:bCs/>
        </w:rPr>
        <w:t>6</w:t>
      </w:r>
      <w:r w:rsidRPr="009E5FAC">
        <w:rPr>
          <w:b/>
          <w:bCs/>
        </w:rPr>
        <w:t>. Will owners have to pay additional monies to monitor, manage and safeguard these funds?</w:t>
      </w:r>
    </w:p>
    <w:p w14:paraId="13FFE4C7" w14:textId="5139E0EE" w:rsidR="00D55E6E" w:rsidRPr="00E77192" w:rsidRDefault="003149FA" w:rsidP="0017147E">
      <w:r w:rsidRPr="00A36846">
        <w:rPr>
          <w:b/>
          <w:bCs/>
        </w:rPr>
        <w:t>Ans</w:t>
      </w:r>
      <w:r>
        <w:t>.</w:t>
      </w:r>
      <w:r w:rsidR="00276E16">
        <w:t xml:space="preserve"> </w:t>
      </w:r>
      <w:r w:rsidR="00633354">
        <w:t xml:space="preserve">No.  </w:t>
      </w:r>
      <w:r w:rsidR="00E61CAF">
        <w:t>T</w:t>
      </w:r>
      <w:r w:rsidR="00F41F60">
        <w:t>here are no additional fees to manage and monitor the Reserve Fund</w:t>
      </w:r>
      <w:r w:rsidR="00AE7B05">
        <w:t xml:space="preserve"> which is and always has been, part of our financial portfolio.</w:t>
      </w:r>
      <w:r w:rsidR="00E61CAF">
        <w:t xml:space="preserve"> </w:t>
      </w:r>
      <w:r w:rsidR="0081499A">
        <w:t xml:space="preserve">Financial management  is a critical function of property management and </w:t>
      </w:r>
      <w:r w:rsidR="00D55E6E">
        <w:t xml:space="preserve">The Board </w:t>
      </w:r>
      <w:r w:rsidR="00BB2416">
        <w:t>seeks these services</w:t>
      </w:r>
      <w:r w:rsidR="00D55E6E">
        <w:rPr>
          <w:i/>
          <w:iCs/>
        </w:rPr>
        <w:t xml:space="preserve"> </w:t>
      </w:r>
      <w:r w:rsidR="008059D1">
        <w:t xml:space="preserve">at costs </w:t>
      </w:r>
      <w:r w:rsidR="00D55E6E" w:rsidRPr="00E77192">
        <w:t>within industry standards for such services.</w:t>
      </w:r>
      <w:r w:rsidR="00A1036D" w:rsidRPr="00E77192">
        <w:t xml:space="preserve">  </w:t>
      </w:r>
    </w:p>
    <w:p w14:paraId="6D88362C" w14:textId="7B9CE051" w:rsidR="00F41F60" w:rsidRDefault="00A153E1" w:rsidP="00F41F60">
      <w:r>
        <w:t>As the Reserve Fund grows over the years, the Board may cho</w:t>
      </w:r>
      <w:r w:rsidR="002761A8">
        <w:t>o</w:t>
      </w:r>
      <w:r>
        <w:t xml:space="preserve">se </w:t>
      </w:r>
      <w:r w:rsidR="002761A8">
        <w:t>a different approach</w:t>
      </w:r>
      <w:r w:rsidR="00D43CAA">
        <w:t xml:space="preserve"> or different providers</w:t>
      </w:r>
      <w:r w:rsidR="002761A8">
        <w:t>.</w:t>
      </w:r>
      <w:r w:rsidR="00832521">
        <w:t xml:space="preserve">  </w:t>
      </w:r>
    </w:p>
    <w:p w14:paraId="2A5D2F20" w14:textId="5914B4C9" w:rsidR="003149FA" w:rsidRPr="00A16949" w:rsidRDefault="003149FA" w:rsidP="00EB34B6">
      <w:pPr>
        <w:rPr>
          <w:b/>
          <w:bCs/>
        </w:rPr>
      </w:pPr>
      <w:r w:rsidRPr="00A16949">
        <w:rPr>
          <w:b/>
          <w:bCs/>
        </w:rPr>
        <w:lastRenderedPageBreak/>
        <w:t>Q</w:t>
      </w:r>
      <w:r w:rsidR="008059D1">
        <w:rPr>
          <w:b/>
          <w:bCs/>
        </w:rPr>
        <w:t>7</w:t>
      </w:r>
      <w:r w:rsidRPr="00A16949">
        <w:rPr>
          <w:b/>
          <w:bCs/>
        </w:rPr>
        <w:t xml:space="preserve">. Why am I paying more than friends in larger units or </w:t>
      </w:r>
      <w:r w:rsidR="003E46E8" w:rsidRPr="003E46E8">
        <w:rPr>
          <w:b/>
          <w:bCs/>
        </w:rPr>
        <w:t>single-family</w:t>
      </w:r>
      <w:r w:rsidRPr="00A16949">
        <w:rPr>
          <w:b/>
          <w:bCs/>
        </w:rPr>
        <w:t xml:space="preserve"> homes</w:t>
      </w:r>
      <w:r w:rsidR="00F8564B" w:rsidRPr="00A16949">
        <w:rPr>
          <w:b/>
          <w:bCs/>
        </w:rPr>
        <w:t>?</w:t>
      </w:r>
    </w:p>
    <w:p w14:paraId="31D03AD0" w14:textId="1828247D" w:rsidR="00F8564B" w:rsidRPr="00B926FE" w:rsidRDefault="00F8564B" w:rsidP="00EB34B6">
      <w:pPr>
        <w:rPr>
          <w:i/>
          <w:iCs/>
        </w:rPr>
      </w:pPr>
      <w:r w:rsidRPr="007E2ECF">
        <w:rPr>
          <w:b/>
          <w:bCs/>
        </w:rPr>
        <w:t>Ans.</w:t>
      </w:r>
      <w:r w:rsidR="00B926FE">
        <w:t xml:space="preserve"> </w:t>
      </w:r>
      <w:r w:rsidR="00B926FE" w:rsidRPr="007E2ECF">
        <w:t xml:space="preserve">The requirement for full funding of specified reserves does not apply to family homes of </w:t>
      </w:r>
      <w:r w:rsidR="007D3BD0" w:rsidRPr="007E2ECF">
        <w:t xml:space="preserve">4-stories or less. Your friends may also be living in newer buildings whose elements still have a lot of useful life so they </w:t>
      </w:r>
      <w:r w:rsidR="006269D2" w:rsidRPr="007E2ECF">
        <w:t>may have a smaller reserve shortfall</w:t>
      </w:r>
      <w:r w:rsidR="007D3BD0" w:rsidRPr="007E2ECF">
        <w:t>. And some newer condos have their owners committed to full funding from time of purchase</w:t>
      </w:r>
      <w:r w:rsidR="00585D92" w:rsidRPr="007E2ECF">
        <w:t>, so they too will be paying less, over a longer period.</w:t>
      </w:r>
    </w:p>
    <w:p w14:paraId="4D2E66C3" w14:textId="1114D2A1" w:rsidR="00D60ADC" w:rsidRDefault="00F31A87" w:rsidP="00EB34B6">
      <w:r>
        <w:t>There many reasons why fees do not compare well between associat</w:t>
      </w:r>
      <w:r w:rsidR="00B8385B">
        <w:t>i</w:t>
      </w:r>
      <w:r>
        <w:t>ons:</w:t>
      </w:r>
    </w:p>
    <w:p w14:paraId="12A7527D" w14:textId="05CC0C39" w:rsidR="00F31A87" w:rsidRDefault="00F31A87" w:rsidP="00A16949">
      <w:pPr>
        <w:pStyle w:val="ListParagraph"/>
        <w:numPr>
          <w:ilvl w:val="0"/>
          <w:numId w:val="4"/>
        </w:numPr>
      </w:pPr>
      <w:r>
        <w:t>Age</w:t>
      </w:r>
      <w:r w:rsidR="00B96920">
        <w:t>, size, design</w:t>
      </w:r>
      <w:r>
        <w:t xml:space="preserve"> of the buildings and their condition</w:t>
      </w:r>
      <w:r w:rsidR="00C21B80">
        <w:t>s;</w:t>
      </w:r>
    </w:p>
    <w:p w14:paraId="3C2229B6" w14:textId="1F1010EC" w:rsidR="00A67E09" w:rsidRDefault="00A67E09" w:rsidP="00A16949">
      <w:pPr>
        <w:pStyle w:val="ListParagraph"/>
        <w:numPr>
          <w:ilvl w:val="0"/>
          <w:numId w:val="4"/>
        </w:numPr>
      </w:pPr>
      <w:r>
        <w:t>The level of funding they have done in the past</w:t>
      </w:r>
      <w:r w:rsidR="00C21B80">
        <w:t>;</w:t>
      </w:r>
    </w:p>
    <w:p w14:paraId="74439ADA" w14:textId="7561E3A5" w:rsidR="00B8385B" w:rsidRDefault="00B8385B" w:rsidP="00A16949">
      <w:pPr>
        <w:pStyle w:val="ListParagraph"/>
        <w:numPr>
          <w:ilvl w:val="0"/>
          <w:numId w:val="4"/>
        </w:numPr>
      </w:pPr>
      <w:r>
        <w:t>Whether they are subject to SIRS requirements or not</w:t>
      </w:r>
      <w:r w:rsidR="00C21B80">
        <w:t>;</w:t>
      </w:r>
    </w:p>
    <w:p w14:paraId="59B96D84" w14:textId="3453F95C" w:rsidR="00CE2FC2" w:rsidRDefault="00CE2FC2" w:rsidP="00A16949">
      <w:pPr>
        <w:pStyle w:val="ListParagraph"/>
        <w:numPr>
          <w:ilvl w:val="0"/>
          <w:numId w:val="4"/>
        </w:numPr>
      </w:pPr>
      <w:r>
        <w:t xml:space="preserve">What </w:t>
      </w:r>
      <w:r w:rsidR="008D5AD5">
        <w:t xml:space="preserve">services and </w:t>
      </w:r>
      <w:r>
        <w:t xml:space="preserve">common area amenities are available: swimming pool, </w:t>
      </w:r>
      <w:r w:rsidR="00AC7E5D">
        <w:t xml:space="preserve">lake </w:t>
      </w:r>
      <w:r w:rsidR="008D5AD5">
        <w:t xml:space="preserve">pond, </w:t>
      </w:r>
      <w:r w:rsidR="00E752F6">
        <w:t xml:space="preserve">auditorium, </w:t>
      </w:r>
      <w:r w:rsidR="003E46E8">
        <w:t>etc.</w:t>
      </w:r>
      <w:r>
        <w:t xml:space="preserve"> </w:t>
      </w:r>
    </w:p>
    <w:p w14:paraId="25FBEB9E" w14:textId="5326C0D1" w:rsidR="00E752F6" w:rsidRDefault="00545DB7" w:rsidP="00EB34B6">
      <w:r>
        <w:t>Within the same LCG building, small unit owners will always pay less than larger unit owner</w:t>
      </w:r>
      <w:r w:rsidR="00937270">
        <w:t xml:space="preserve"> of the same building</w:t>
      </w:r>
      <w:r>
        <w:t xml:space="preserve">.  It is possible </w:t>
      </w:r>
      <w:r w:rsidR="00937270">
        <w:t xml:space="preserve">however </w:t>
      </w:r>
      <w:r>
        <w:t xml:space="preserve">that </w:t>
      </w:r>
      <w:r w:rsidR="00E752F6">
        <w:t>an owner of a small unit pa</w:t>
      </w:r>
      <w:r w:rsidR="00F77D16">
        <w:t>id</w:t>
      </w:r>
      <w:r w:rsidR="00E752F6">
        <w:t xml:space="preserve"> more than an owner </w:t>
      </w:r>
      <w:r w:rsidR="00D177DB">
        <w:t>of</w:t>
      </w:r>
      <w:r w:rsidR="00E752F6">
        <w:t xml:space="preserve"> a larger unit </w:t>
      </w:r>
      <w:r w:rsidR="000F24E4">
        <w:t xml:space="preserve">in a different </w:t>
      </w:r>
      <w:r w:rsidR="00F77D16">
        <w:t xml:space="preserve">LCG </w:t>
      </w:r>
      <w:r w:rsidR="000F24E4">
        <w:t>building for many reasons:</w:t>
      </w:r>
    </w:p>
    <w:p w14:paraId="26DFFCA7" w14:textId="3012D25A" w:rsidR="001C00A2" w:rsidRDefault="00271878" w:rsidP="00A16949">
      <w:pPr>
        <w:pStyle w:val="ListParagraph"/>
        <w:numPr>
          <w:ilvl w:val="0"/>
          <w:numId w:val="5"/>
        </w:numPr>
      </w:pPr>
      <w:r>
        <w:t xml:space="preserve">Level of past funding at </w:t>
      </w:r>
      <w:r w:rsidR="00C5358C">
        <w:t xml:space="preserve">each </w:t>
      </w:r>
      <w:r>
        <w:t xml:space="preserve">building: </w:t>
      </w:r>
      <w:r w:rsidR="001C00A2">
        <w:t>100% or 60% funding in the FY24 budget</w:t>
      </w:r>
    </w:p>
    <w:p w14:paraId="2EBBEC5B" w14:textId="1FC1D4E5" w:rsidR="003D0BCF" w:rsidRDefault="003D0BCF" w:rsidP="00A16949">
      <w:pPr>
        <w:pStyle w:val="ListParagraph"/>
        <w:numPr>
          <w:ilvl w:val="0"/>
          <w:numId w:val="5"/>
        </w:numPr>
      </w:pPr>
      <w:r>
        <w:t>The level of Reserve Funds that have accumulated up to June 30, 2023</w:t>
      </w:r>
      <w:r w:rsidR="003530A8">
        <w:t xml:space="preserve"> at each </w:t>
      </w:r>
      <w:r w:rsidR="003E46E8">
        <w:t>building</w:t>
      </w:r>
      <w:r w:rsidR="000B58DB">
        <w:t>;</w:t>
      </w:r>
    </w:p>
    <w:p w14:paraId="5A5A7859" w14:textId="2DE7BAE0" w:rsidR="00C5358C" w:rsidRDefault="003D0BCF" w:rsidP="00A16949">
      <w:pPr>
        <w:pStyle w:val="ListParagraph"/>
        <w:numPr>
          <w:ilvl w:val="0"/>
          <w:numId w:val="5"/>
        </w:numPr>
      </w:pPr>
      <w:r>
        <w:t xml:space="preserve">The </w:t>
      </w:r>
      <w:r w:rsidR="008E3341">
        <w:t xml:space="preserve">difference in </w:t>
      </w:r>
      <w:r>
        <w:t xml:space="preserve">age and </w:t>
      </w:r>
      <w:r w:rsidR="00870AD1">
        <w:t xml:space="preserve">replacement costs </w:t>
      </w:r>
      <w:r w:rsidR="000B58DB">
        <w:t xml:space="preserve">of </w:t>
      </w:r>
      <w:r w:rsidR="00527419">
        <w:t xml:space="preserve">some </w:t>
      </w:r>
      <w:r w:rsidR="008E3341">
        <w:t>component</w:t>
      </w:r>
      <w:r w:rsidR="00527419">
        <w:t>s</w:t>
      </w:r>
      <w:r w:rsidR="008E3341">
        <w:t xml:space="preserve"> </w:t>
      </w:r>
      <w:r w:rsidR="00527419">
        <w:t xml:space="preserve">used in </w:t>
      </w:r>
      <w:r w:rsidR="00AA12DB">
        <w:t xml:space="preserve">the </w:t>
      </w:r>
      <w:r w:rsidR="00527419">
        <w:t>FY24 budget</w:t>
      </w:r>
      <w:r w:rsidR="00AA12DB">
        <w:t xml:space="preserve"> reserves varied considerably</w:t>
      </w:r>
      <w:r w:rsidR="000B58DB">
        <w:t xml:space="preserve">, </w:t>
      </w:r>
      <w:r w:rsidR="003E46E8">
        <w:t>e.g.</w:t>
      </w:r>
      <w:r w:rsidR="008E3341">
        <w:t xml:space="preserve"> </w:t>
      </w:r>
      <w:r w:rsidR="004E7B0D">
        <w:t>R</w:t>
      </w:r>
      <w:r w:rsidR="000B58DB">
        <w:t>oof</w:t>
      </w:r>
      <w:r w:rsidR="004E7B0D">
        <w:t xml:space="preserve"> cost</w:t>
      </w:r>
      <w:r w:rsidR="000B58DB">
        <w:t>s</w:t>
      </w:r>
      <w:r w:rsidR="008E3341">
        <w:t>.</w:t>
      </w:r>
    </w:p>
    <w:p w14:paraId="053ED3D2" w14:textId="3B741C34" w:rsidR="00E82616" w:rsidRDefault="00E82616" w:rsidP="00E82616">
      <w:pPr>
        <w:pStyle w:val="ListParagraph"/>
        <w:numPr>
          <w:ilvl w:val="0"/>
          <w:numId w:val="5"/>
        </w:numPr>
      </w:pPr>
      <w:r>
        <w:t xml:space="preserve">Major repairs done in the past </w:t>
      </w:r>
      <w:r w:rsidR="00F57361">
        <w:t xml:space="preserve">varied </w:t>
      </w:r>
      <w:r>
        <w:t>significantly between buildings, even when the two buildings are the same size;</w:t>
      </w:r>
    </w:p>
    <w:p w14:paraId="25D3F948" w14:textId="50866D40" w:rsidR="009F7A2B" w:rsidRDefault="003456F0" w:rsidP="007B3501">
      <w:r>
        <w:t xml:space="preserve">With the new inspections in 2024, </w:t>
      </w:r>
      <w:r w:rsidR="007B3501">
        <w:t xml:space="preserve">new roof costs, </w:t>
      </w:r>
      <w:r>
        <w:t xml:space="preserve">and SIRS requirement, we expect </w:t>
      </w:r>
      <w:r w:rsidR="000A6816">
        <w:t xml:space="preserve">to reduce </w:t>
      </w:r>
      <w:r w:rsidR="00284C57">
        <w:t xml:space="preserve">significant differences </w:t>
      </w:r>
      <w:r w:rsidR="007B3501">
        <w:t xml:space="preserve">in </w:t>
      </w:r>
      <w:r w:rsidR="00937270">
        <w:t xml:space="preserve">average unit </w:t>
      </w:r>
      <w:r w:rsidR="007B3501">
        <w:t>fees between LCG buildings.</w:t>
      </w:r>
    </w:p>
    <w:p w14:paraId="0D49A2D1" w14:textId="77777777" w:rsidR="007B3501" w:rsidRDefault="007B3501" w:rsidP="007B3501"/>
    <w:p w14:paraId="06EE9261" w14:textId="7C216343" w:rsidR="00F8564B" w:rsidRPr="00C82363" w:rsidRDefault="00F8564B" w:rsidP="00EB34B6">
      <w:pPr>
        <w:rPr>
          <w:b/>
          <w:bCs/>
        </w:rPr>
      </w:pPr>
      <w:r w:rsidRPr="00F10A18">
        <w:rPr>
          <w:b/>
          <w:bCs/>
        </w:rPr>
        <w:t>Q</w:t>
      </w:r>
      <w:r w:rsidR="00C82363">
        <w:rPr>
          <w:b/>
          <w:bCs/>
        </w:rPr>
        <w:t>8</w:t>
      </w:r>
      <w:r w:rsidRPr="00F10A18">
        <w:rPr>
          <w:b/>
          <w:bCs/>
        </w:rPr>
        <w:t>. Why can’t we achieve the</w:t>
      </w:r>
      <w:r w:rsidR="00793542" w:rsidRPr="00F10A18">
        <w:rPr>
          <w:b/>
          <w:bCs/>
        </w:rPr>
        <w:t xml:space="preserve"> </w:t>
      </w:r>
      <w:r w:rsidRPr="00F10A18">
        <w:rPr>
          <w:b/>
          <w:bCs/>
        </w:rPr>
        <w:t>100% funding with a smaller increase over a longer period of time?</w:t>
      </w:r>
      <w:r w:rsidR="004B708E">
        <w:rPr>
          <w:b/>
          <w:bCs/>
        </w:rPr>
        <w:t xml:space="preserve"> </w:t>
      </w:r>
    </w:p>
    <w:p w14:paraId="7BE0E40B" w14:textId="11190CA0" w:rsidR="00386B76" w:rsidRPr="00C82363" w:rsidRDefault="00F8564B" w:rsidP="00386B76">
      <w:r w:rsidRPr="00C82363">
        <w:rPr>
          <w:b/>
          <w:bCs/>
        </w:rPr>
        <w:t>Ans</w:t>
      </w:r>
      <w:r w:rsidRPr="00C82363">
        <w:t>.</w:t>
      </w:r>
      <w:r w:rsidR="00793542" w:rsidRPr="00C82363">
        <w:t xml:space="preserve"> Because the </w:t>
      </w:r>
      <w:r w:rsidR="004B708E" w:rsidRPr="00C82363">
        <w:t xml:space="preserve">application of Florida Statutes section 718 </w:t>
      </w:r>
      <w:r w:rsidR="00250735" w:rsidRPr="00C82363">
        <w:t>requires</w:t>
      </w:r>
      <w:r w:rsidR="004B708E" w:rsidRPr="00C82363">
        <w:t xml:space="preserve"> </w:t>
      </w:r>
      <w:r w:rsidR="00793542" w:rsidRPr="00C82363">
        <w:t>that our budget of</w:t>
      </w:r>
      <w:r w:rsidR="00B6445D" w:rsidRPr="00C82363">
        <w:t xml:space="preserve"> July 2025 to June 2026 must reflect full funding</w:t>
      </w:r>
      <w:r w:rsidR="00AE5158" w:rsidRPr="00C82363">
        <w:t xml:space="preserve"> of </w:t>
      </w:r>
      <w:r w:rsidR="004B708E" w:rsidRPr="00C82363">
        <w:t xml:space="preserve">the SIRS </w:t>
      </w:r>
      <w:r w:rsidR="00AE5158" w:rsidRPr="00C82363">
        <w:t>reserves.</w:t>
      </w:r>
      <w:r w:rsidR="004B708E" w:rsidRPr="00C82363">
        <w:t xml:space="preserve"> </w:t>
      </w:r>
      <w:r w:rsidR="00AE5158" w:rsidRPr="00C82363">
        <w:t xml:space="preserve"> Our choices therefore are large increases over these two years o</w:t>
      </w:r>
      <w:r w:rsidR="00162568" w:rsidRPr="00C82363">
        <w:t xml:space="preserve">r </w:t>
      </w:r>
      <w:r w:rsidR="00585780" w:rsidRPr="00C82363">
        <w:t xml:space="preserve">a much larger lump sum now or </w:t>
      </w:r>
      <w:r w:rsidR="00162568" w:rsidRPr="00C82363">
        <w:t xml:space="preserve">in the </w:t>
      </w:r>
      <w:r w:rsidR="00BA599D" w:rsidRPr="00C82363">
        <w:t xml:space="preserve">last year. </w:t>
      </w:r>
      <w:r w:rsidR="00693C5F" w:rsidRPr="00C82363">
        <w:t xml:space="preserve"> </w:t>
      </w:r>
      <w:r w:rsidR="00BA599D" w:rsidRPr="00C82363">
        <w:t xml:space="preserve">The opportunity for smaller increases </w:t>
      </w:r>
      <w:r w:rsidR="00693C5F" w:rsidRPr="00C82363">
        <w:t xml:space="preserve">by using </w:t>
      </w:r>
      <w:r w:rsidR="00BA599D" w:rsidRPr="00C82363">
        <w:t xml:space="preserve">a longer period has passed us and </w:t>
      </w:r>
      <w:r w:rsidR="00250735" w:rsidRPr="00C82363">
        <w:t>owners</w:t>
      </w:r>
      <w:r w:rsidR="00250735">
        <w:rPr>
          <w:i/>
          <w:iCs/>
        </w:rPr>
        <w:t xml:space="preserve"> </w:t>
      </w:r>
      <w:r w:rsidR="00250735" w:rsidRPr="00C82363">
        <w:t>voted against it</w:t>
      </w:r>
      <w:r w:rsidR="00BA599D" w:rsidRPr="00C82363">
        <w:t xml:space="preserve">. </w:t>
      </w:r>
      <w:r w:rsidR="00A16949" w:rsidRPr="00C82363">
        <w:t>Again,</w:t>
      </w:r>
      <w:r w:rsidR="00386B76" w:rsidRPr="00C82363">
        <w:t xml:space="preserve"> LCG is not alone here, many condo</w:t>
      </w:r>
      <w:r w:rsidR="0050007D" w:rsidRPr="00C82363">
        <w:t xml:space="preserve"> associations in Florida</w:t>
      </w:r>
      <w:r w:rsidR="003E609A" w:rsidRPr="00C82363">
        <w:t xml:space="preserve"> and in other states</w:t>
      </w:r>
      <w:r w:rsidR="0050007D" w:rsidRPr="00C82363">
        <w:t xml:space="preserve"> have </w:t>
      </w:r>
      <w:r w:rsidR="003E609A" w:rsidRPr="00C82363">
        <w:t>similar issues.</w:t>
      </w:r>
    </w:p>
    <w:p w14:paraId="51C91818" w14:textId="41A7720C" w:rsidR="00F8564B" w:rsidRPr="00F10A18" w:rsidRDefault="00F8564B" w:rsidP="00EB34B6">
      <w:pPr>
        <w:rPr>
          <w:b/>
          <w:bCs/>
        </w:rPr>
      </w:pPr>
      <w:r w:rsidRPr="00F10A18">
        <w:rPr>
          <w:b/>
          <w:bCs/>
        </w:rPr>
        <w:lastRenderedPageBreak/>
        <w:t>Q</w:t>
      </w:r>
      <w:r w:rsidR="00C82363">
        <w:rPr>
          <w:b/>
          <w:bCs/>
        </w:rPr>
        <w:t>9</w:t>
      </w:r>
      <w:r w:rsidRPr="00F10A18">
        <w:rPr>
          <w:b/>
          <w:bCs/>
        </w:rPr>
        <w:t>. What is being done to lower the sky-rocketing fees?</w:t>
      </w:r>
    </w:p>
    <w:p w14:paraId="0FB0C4D3" w14:textId="29F06B1F" w:rsidR="00F8564B" w:rsidRPr="00355421" w:rsidRDefault="00F8564B" w:rsidP="00EB34B6">
      <w:pPr>
        <w:rPr>
          <w:i/>
          <w:iCs/>
        </w:rPr>
      </w:pPr>
      <w:r w:rsidRPr="00C82363">
        <w:rPr>
          <w:b/>
          <w:bCs/>
        </w:rPr>
        <w:t>Ans</w:t>
      </w:r>
      <w:r>
        <w:t>.</w:t>
      </w:r>
      <w:r w:rsidR="00355421">
        <w:t xml:space="preserve"> </w:t>
      </w:r>
      <w:r w:rsidR="00355421" w:rsidRPr="00C82363">
        <w:t>Many of the factors impacting our sky-rocketing fees are</w:t>
      </w:r>
      <w:r w:rsidR="00805611" w:rsidRPr="00C82363">
        <w:t xml:space="preserve"> external to and</w:t>
      </w:r>
      <w:r w:rsidR="00355421" w:rsidRPr="00C82363">
        <w:t xml:space="preserve"> beyond the control of the Association and its Board</w:t>
      </w:r>
      <w:r w:rsidR="00805611" w:rsidRPr="00C82363">
        <w:t>. The legislation, the cost of insurance</w:t>
      </w:r>
      <w:r w:rsidR="00CE21B3" w:rsidRPr="00C82363">
        <w:t xml:space="preserve">, the age of the building are </w:t>
      </w:r>
      <w:r w:rsidR="00244239" w:rsidRPr="00C82363">
        <w:t xml:space="preserve">all factors that impact our fees. We try to maintain our building </w:t>
      </w:r>
      <w:r w:rsidR="001C3CB6" w:rsidRPr="00C82363">
        <w:t>so that its integrity is preserved despite its age but that is expensive</w:t>
      </w:r>
      <w:r w:rsidR="00600AF5" w:rsidRPr="00C82363">
        <w:t xml:space="preserve">. We have been </w:t>
      </w:r>
      <w:r w:rsidR="005A52F2" w:rsidRPr="00C82363">
        <w:t xml:space="preserve">trying to improve our financial management by </w:t>
      </w:r>
      <w:r w:rsidR="00600AF5" w:rsidRPr="00C82363">
        <w:t>reviewing our expenses</w:t>
      </w:r>
      <w:r w:rsidR="005A52F2" w:rsidRPr="00C82363">
        <w:t>, removing unnecessary services and replacing inefficient ones</w:t>
      </w:r>
      <w:r w:rsidR="00F65832" w:rsidRPr="00C82363">
        <w:t xml:space="preserve"> </w:t>
      </w:r>
      <w:r w:rsidR="00DD5AD5" w:rsidRPr="00C82363">
        <w:t xml:space="preserve">to get better bang for our buck, </w:t>
      </w:r>
      <w:r w:rsidR="00F65832" w:rsidRPr="00C82363">
        <w:t>and investing our funds in higher-yielding but still protected instruments.</w:t>
      </w:r>
    </w:p>
    <w:p w14:paraId="783F1AA5" w14:textId="77777777" w:rsidR="00F8564B" w:rsidRDefault="00F8564B" w:rsidP="00EB34B6"/>
    <w:p w14:paraId="2EEBD597" w14:textId="574573D5" w:rsidR="00F8564B" w:rsidRPr="005953A4" w:rsidRDefault="00F8564B" w:rsidP="00EB34B6">
      <w:pPr>
        <w:rPr>
          <w:b/>
          <w:bCs/>
        </w:rPr>
      </w:pPr>
      <w:r w:rsidRPr="00F10A18">
        <w:rPr>
          <w:b/>
          <w:bCs/>
        </w:rPr>
        <w:t>Q1</w:t>
      </w:r>
      <w:r w:rsidR="00C82363">
        <w:rPr>
          <w:b/>
          <w:bCs/>
        </w:rPr>
        <w:t>0</w:t>
      </w:r>
      <w:r w:rsidRPr="00F10A18">
        <w:rPr>
          <w:b/>
          <w:bCs/>
        </w:rPr>
        <w:t xml:space="preserve">. Can we have a </w:t>
      </w:r>
      <w:r w:rsidR="00547390">
        <w:rPr>
          <w:b/>
          <w:bCs/>
        </w:rPr>
        <w:t>multi-</w:t>
      </w:r>
      <w:r w:rsidRPr="005953A4">
        <w:rPr>
          <w:b/>
          <w:bCs/>
        </w:rPr>
        <w:t>year forecast of the fees?</w:t>
      </w:r>
    </w:p>
    <w:p w14:paraId="67381F8D" w14:textId="7A6725D4" w:rsidR="00F65E97" w:rsidRPr="00C82363" w:rsidRDefault="00F8564B" w:rsidP="00EB34B6">
      <w:r w:rsidRPr="00C82363">
        <w:rPr>
          <w:b/>
          <w:bCs/>
        </w:rPr>
        <w:t>Ans</w:t>
      </w:r>
      <w:r>
        <w:t>.</w:t>
      </w:r>
      <w:r w:rsidR="003A124B">
        <w:rPr>
          <w:i/>
          <w:iCs/>
        </w:rPr>
        <w:t xml:space="preserve"> </w:t>
      </w:r>
      <w:r w:rsidR="00C1052F" w:rsidRPr="00937D1D">
        <w:t xml:space="preserve">Yes, the Finance Committee </w:t>
      </w:r>
      <w:r w:rsidR="005E604B" w:rsidRPr="00937D1D">
        <w:t xml:space="preserve">is </w:t>
      </w:r>
      <w:r w:rsidR="008B36CE" w:rsidRPr="00937D1D">
        <w:t>preparing</w:t>
      </w:r>
      <w:r w:rsidR="008B36CE">
        <w:rPr>
          <w:i/>
          <w:iCs/>
        </w:rPr>
        <w:t xml:space="preserve"> </w:t>
      </w:r>
      <w:r w:rsidR="005E604B" w:rsidRPr="00C82363">
        <w:t>a four</w:t>
      </w:r>
      <w:r w:rsidR="00547390" w:rsidRPr="00C82363">
        <w:t>-</w:t>
      </w:r>
      <w:r w:rsidR="005E604B" w:rsidRPr="00C82363">
        <w:t xml:space="preserve">year budget forecast </w:t>
      </w:r>
      <w:r w:rsidR="00F65E97" w:rsidRPr="00C82363">
        <w:t xml:space="preserve">for you documents </w:t>
      </w:r>
      <w:r w:rsidR="008B36CE" w:rsidRPr="00C82363">
        <w:t xml:space="preserve">showing both </w:t>
      </w:r>
      <w:r w:rsidR="005E604B" w:rsidRPr="00C82363">
        <w:t>option</w:t>
      </w:r>
      <w:r w:rsidR="008B36CE" w:rsidRPr="00C82363">
        <w:t xml:space="preserve"> for full funding: in a single lump sum or monthly instalments</w:t>
      </w:r>
      <w:r w:rsidR="00F65E97" w:rsidRPr="00C82363">
        <w:t>.</w:t>
      </w:r>
    </w:p>
    <w:p w14:paraId="506CDBBE" w14:textId="72AA0CCD" w:rsidR="00E732AF" w:rsidRPr="00C82363" w:rsidRDefault="00F65E97" w:rsidP="00EB34B6">
      <w:r w:rsidRPr="00C82363">
        <w:t xml:space="preserve">As with any forecast, </w:t>
      </w:r>
      <w:r w:rsidR="00863346" w:rsidRPr="00C82363">
        <w:t xml:space="preserve">any costs beyond the first budget year </w:t>
      </w:r>
      <w:r w:rsidR="00A16949" w:rsidRPr="00C82363">
        <w:t>are</w:t>
      </w:r>
      <w:r w:rsidR="00863346" w:rsidRPr="00C82363">
        <w:t xml:space="preserve"> subject to change</w:t>
      </w:r>
      <w:r w:rsidR="00A9031B" w:rsidRPr="00C82363">
        <w:t xml:space="preserve">.  </w:t>
      </w:r>
    </w:p>
    <w:p w14:paraId="56A39246" w14:textId="77777777" w:rsidR="004C3170" w:rsidRDefault="004C3170" w:rsidP="00EB34B6">
      <w:pPr>
        <w:rPr>
          <w:i/>
          <w:iCs/>
        </w:rPr>
      </w:pPr>
    </w:p>
    <w:p w14:paraId="311BA298" w14:textId="77777777" w:rsidR="00D826DA" w:rsidRPr="007D4B44" w:rsidRDefault="00D826DA" w:rsidP="00D826DA">
      <w:pPr>
        <w:rPr>
          <w:b/>
          <w:bCs/>
        </w:rPr>
      </w:pPr>
      <w:r w:rsidRPr="007D4B44">
        <w:rPr>
          <w:b/>
          <w:bCs/>
        </w:rPr>
        <w:t>Q</w:t>
      </w:r>
      <w:r>
        <w:rPr>
          <w:b/>
          <w:bCs/>
        </w:rPr>
        <w:t>11</w:t>
      </w:r>
      <w:r w:rsidRPr="007D4B44">
        <w:rPr>
          <w:b/>
          <w:bCs/>
        </w:rPr>
        <w:t>. How much do we need to have in our budget to have 100% funding of reserves by the due date? Also how much does each building need to have for full funding of reserves?</w:t>
      </w:r>
    </w:p>
    <w:p w14:paraId="0C3964F5" w14:textId="77777777" w:rsidR="00D826DA" w:rsidRDefault="00D826DA" w:rsidP="00D826DA">
      <w:r>
        <w:t>100% of reserves is $11.7M, reduced by our Reserve Fund of $2.9M, the reserve shortfall is $8.8M as of June 30, 2024.  These amounts are based on a preliminary report for SIRS, and subject to change.  If each owner pays a lump sum to cover the reserve shortfall, the average amount by building is shown the chart below:</w:t>
      </w:r>
    </w:p>
    <w:p w14:paraId="10E2C646" w14:textId="77777777" w:rsidR="00D826DA" w:rsidRDefault="00D826DA" w:rsidP="00D826DA">
      <w:r>
        <w:rPr>
          <w:noProof/>
        </w:rPr>
        <w:lastRenderedPageBreak/>
        <w:drawing>
          <wp:inline distT="0" distB="0" distL="0" distR="0" wp14:anchorId="4375D099" wp14:editId="19D05A1F">
            <wp:extent cx="7065819" cy="3893127"/>
            <wp:effectExtent l="0" t="0" r="1905" b="12700"/>
            <wp:docPr id="1658124793" name="Chart 1">
              <a:extLst xmlns:a="http://schemas.openxmlformats.org/drawingml/2006/main">
                <a:ext uri="{FF2B5EF4-FFF2-40B4-BE49-F238E27FC236}">
                  <a16:creationId xmlns:a16="http://schemas.microsoft.com/office/drawing/2014/main" id="{4EEC2205-65B9-6248-7265-B776D9D05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6DD38E7" w14:textId="77777777" w:rsidR="00D826DA" w:rsidRDefault="00D826DA" w:rsidP="00D826DA">
      <w:r>
        <w:t xml:space="preserve">Using monthly payments instead of a single lump sum, from July 1, 2024 to June 30 2026, we can spread the reserve shortfall costs over 24 months to cover mandatory “SIRS” portion and over a longer period for the “Normal” portion of the reserves such as 36 months.  To do so, we need to budget a reserve expense for the next budget, the period from July1, 224 to June 30, 2025, called the “FY25” a significant increase compared to last year FY24 for most buildings: </w:t>
      </w:r>
    </w:p>
    <w:p w14:paraId="4FDCEF14" w14:textId="77777777" w:rsidR="00D826DA" w:rsidRDefault="00D826DA" w:rsidP="00D826DA">
      <w:r>
        <w:rPr>
          <w:noProof/>
        </w:rPr>
        <w:lastRenderedPageBreak/>
        <w:drawing>
          <wp:inline distT="0" distB="0" distL="0" distR="0" wp14:anchorId="691E1740" wp14:editId="426ED0BC">
            <wp:extent cx="8659906" cy="6284259"/>
            <wp:effectExtent l="0" t="0" r="8255" b="2540"/>
            <wp:docPr id="1101765778" name="Chart 1">
              <a:extLst xmlns:a="http://schemas.openxmlformats.org/drawingml/2006/main">
                <a:ext uri="{FF2B5EF4-FFF2-40B4-BE49-F238E27FC236}">
                  <a16:creationId xmlns:a16="http://schemas.microsoft.com/office/drawing/2014/main" id="{452C145F-7053-72EA-055A-726165848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9CCA117" w14:textId="77777777" w:rsidR="00D826DA" w:rsidRDefault="00D826DA" w:rsidP="00D826DA">
      <w:r>
        <w:t>Your exact amount will vary by your unit size and will be shown in your budget documents.</w:t>
      </w:r>
    </w:p>
    <w:p w14:paraId="6A4CCC7D" w14:textId="77777777" w:rsidR="00D826DA" w:rsidRDefault="00D826DA" w:rsidP="00D826DA"/>
    <w:p w14:paraId="18E2C74E" w14:textId="77777777" w:rsidR="00FA38B5" w:rsidRDefault="00FA38B5">
      <w:pPr>
        <w:rPr>
          <w:b/>
          <w:bCs/>
        </w:rPr>
      </w:pPr>
      <w:r>
        <w:rPr>
          <w:b/>
          <w:bCs/>
        </w:rPr>
        <w:br w:type="page"/>
      </w:r>
    </w:p>
    <w:p w14:paraId="1F4DCF26" w14:textId="27523C5F" w:rsidR="00D826DA" w:rsidRPr="004E4F0D" w:rsidRDefault="00D826DA" w:rsidP="00D826DA">
      <w:pPr>
        <w:rPr>
          <w:b/>
          <w:bCs/>
        </w:rPr>
      </w:pPr>
      <w:r w:rsidRPr="004E4F0D">
        <w:rPr>
          <w:b/>
          <w:bCs/>
        </w:rPr>
        <w:lastRenderedPageBreak/>
        <w:t>Q</w:t>
      </w:r>
      <w:r>
        <w:rPr>
          <w:b/>
          <w:bCs/>
        </w:rPr>
        <w:t>12</w:t>
      </w:r>
      <w:r w:rsidRPr="004E4F0D">
        <w:rPr>
          <w:b/>
          <w:bCs/>
        </w:rPr>
        <w:t xml:space="preserve">. When will these large payments end? </w:t>
      </w:r>
    </w:p>
    <w:p w14:paraId="0710A253" w14:textId="77777777" w:rsidR="00D826DA" w:rsidRDefault="00D826DA" w:rsidP="00D826DA">
      <w:r>
        <w:t xml:space="preserve">If we pay the entire reserve shortfall in a single lump sum, the monthly payments for reserves will reduce immediately to a low maintenance level. </w:t>
      </w:r>
    </w:p>
    <w:p w14:paraId="24300280" w14:textId="77777777" w:rsidR="00D826DA" w:rsidRDefault="00D826DA" w:rsidP="00D826DA">
      <w:r>
        <w:t xml:space="preserve">If we pay the entire reserve shortfall instead in monthly payments from July 1, 2024 to June 30 2026, and spread the “Normal” portion of the reserves over 36 months for example.  The monthly payments will remain high for 2 years, reduce significantly in the third year, and reduce to a low maintenance level in the fourth year. </w:t>
      </w:r>
    </w:p>
    <w:p w14:paraId="60DCB2C1" w14:textId="77777777" w:rsidR="00D826DA" w:rsidRDefault="00D826DA" w:rsidP="00D826DA"/>
    <w:p w14:paraId="0DC2702E" w14:textId="77777777" w:rsidR="00D826DA" w:rsidRPr="007B69C0" w:rsidRDefault="00D826DA" w:rsidP="00D826DA">
      <w:pPr>
        <w:rPr>
          <w:b/>
          <w:bCs/>
        </w:rPr>
      </w:pPr>
      <w:r w:rsidRPr="007B69C0">
        <w:rPr>
          <w:b/>
          <w:bCs/>
        </w:rPr>
        <w:t>Q</w:t>
      </w:r>
      <w:r>
        <w:rPr>
          <w:b/>
          <w:bCs/>
        </w:rPr>
        <w:t>13</w:t>
      </w:r>
      <w:r w:rsidRPr="007B69C0">
        <w:rPr>
          <w:b/>
          <w:bCs/>
        </w:rPr>
        <w:t>. Once 100% funding is achieved, will the maintenance fees be decreased?</w:t>
      </w:r>
    </w:p>
    <w:p w14:paraId="775654EC" w14:textId="77777777" w:rsidR="00D826DA" w:rsidRDefault="00D826DA" w:rsidP="00D826DA">
      <w:r>
        <w:t>From the Financial 101 presentation on the LCG website, you will see that maintenance fees have two types: annual maintenance called “operating” and major repairs called “reserves”.</w:t>
      </w:r>
    </w:p>
    <w:p w14:paraId="4604D520" w14:textId="77777777" w:rsidR="00D826DA" w:rsidRDefault="00D826DA" w:rsidP="00D826DA">
      <w:r>
        <w:t>Yes, if all assumptions used in preparing the budget FY25 hold true, in particular if:</w:t>
      </w:r>
    </w:p>
    <w:p w14:paraId="4270FBF9" w14:textId="77777777" w:rsidR="00D826DA" w:rsidRDefault="00D826DA" w:rsidP="00D826DA">
      <w:pPr>
        <w:pStyle w:val="ListParagraph"/>
        <w:numPr>
          <w:ilvl w:val="0"/>
          <w:numId w:val="3"/>
        </w:numPr>
      </w:pPr>
      <w:r>
        <w:t>Final SIRS report reduces its costs to a level comparable to the ones used in the budgetFY25;</w:t>
      </w:r>
    </w:p>
    <w:p w14:paraId="037F6703" w14:textId="77777777" w:rsidR="00D826DA" w:rsidRDefault="00D826DA" w:rsidP="00D826DA">
      <w:pPr>
        <w:pStyle w:val="ListParagraph"/>
        <w:numPr>
          <w:ilvl w:val="0"/>
          <w:numId w:val="3"/>
        </w:numPr>
      </w:pPr>
      <w:r>
        <w:t>repair cost estimates do not change beyond expected inflation, we used 3% per year;</w:t>
      </w:r>
    </w:p>
    <w:p w14:paraId="499F929D" w14:textId="77777777" w:rsidR="00D826DA" w:rsidRDefault="00D826DA" w:rsidP="00D826DA">
      <w:pPr>
        <w:pStyle w:val="ListParagraph"/>
        <w:numPr>
          <w:ilvl w:val="0"/>
          <w:numId w:val="3"/>
        </w:numPr>
      </w:pPr>
      <w:r>
        <w:t>no new or unexpected damage occurs;</w:t>
      </w:r>
    </w:p>
    <w:p w14:paraId="09C8778A" w14:textId="77777777" w:rsidR="00D826DA" w:rsidRDefault="00D826DA" w:rsidP="00D826DA">
      <w:pPr>
        <w:pStyle w:val="ListParagraph"/>
        <w:numPr>
          <w:ilvl w:val="0"/>
          <w:numId w:val="3"/>
        </w:numPr>
      </w:pPr>
      <w:r>
        <w:t>the deterioration occurs as expected, for example roofs have 2 years of remaining life;</w:t>
      </w:r>
    </w:p>
    <w:p w14:paraId="6A9EAF30" w14:textId="77777777" w:rsidR="00D826DA" w:rsidRDefault="00D826DA" w:rsidP="00D826DA">
      <w:r>
        <w:t xml:space="preserve">then the portion of maintenance fees for “reserves” will reduce significantly to a low maintenance level.  </w:t>
      </w:r>
    </w:p>
    <w:p w14:paraId="64B3BE45" w14:textId="77777777" w:rsidR="00D826DA" w:rsidRDefault="00D826DA" w:rsidP="00D826DA">
      <w:r>
        <w:t>On the other hand, the portion of the maintenance fees for “operating” is expected to grow with inflation each year.</w:t>
      </w:r>
    </w:p>
    <w:p w14:paraId="5E97443E" w14:textId="77777777" w:rsidR="00D826DA" w:rsidRDefault="00D826DA" w:rsidP="00D826DA">
      <w:r>
        <w:t>We will show expected levels with a four-year budget forecast in your budget documents.</w:t>
      </w:r>
    </w:p>
    <w:p w14:paraId="6C21DCEE" w14:textId="77777777" w:rsidR="00D826DA" w:rsidRDefault="00D826DA" w:rsidP="00D826DA"/>
    <w:p w14:paraId="6A259191" w14:textId="77777777" w:rsidR="00D826DA" w:rsidRPr="0002634F" w:rsidRDefault="00D826DA" w:rsidP="00D826DA">
      <w:pPr>
        <w:rPr>
          <w:b/>
          <w:bCs/>
        </w:rPr>
      </w:pPr>
      <w:r w:rsidRPr="0002634F">
        <w:rPr>
          <w:b/>
          <w:bCs/>
        </w:rPr>
        <w:t>Q</w:t>
      </w:r>
      <w:r>
        <w:rPr>
          <w:b/>
          <w:bCs/>
        </w:rPr>
        <w:t>14</w:t>
      </w:r>
      <w:r w:rsidRPr="0002634F">
        <w:rPr>
          <w:b/>
          <w:bCs/>
        </w:rPr>
        <w:t>. If I am already paying 100% funding, how long and how much will it take for my building to attain our funded reserves amounts?</w:t>
      </w:r>
    </w:p>
    <w:p w14:paraId="3E4E524D" w14:textId="77777777" w:rsidR="00D826DA" w:rsidRDefault="00D826DA" w:rsidP="00D826DA">
      <w:r>
        <w:t xml:space="preserve">We are using the maximum number of 24 months before June 30, 2026 for all buildings regardless of the vote that occurred in last year’s budget.  The “Normal” portion of the reserve shortfall will be paid in the third year.  This means that using monthly payments, the reserve shortfall for both “Normal” and “SIRS” reserves will reach 100% in 3 years.  </w:t>
      </w:r>
    </w:p>
    <w:p w14:paraId="5DB819A8" w14:textId="77777777" w:rsidR="00D826DA" w:rsidRDefault="00D826DA" w:rsidP="00D826DA">
      <w:r>
        <w:lastRenderedPageBreak/>
        <w:t xml:space="preserve">See question number 3 above for average amounts by building.  </w:t>
      </w:r>
    </w:p>
    <w:p w14:paraId="579CB013" w14:textId="7F9DA3AA" w:rsidR="00D826DA" w:rsidRPr="00D826DA" w:rsidRDefault="00D826DA" w:rsidP="00EB34B6">
      <w:r>
        <w:t>Buildings that have voted 100% can expect smaller increases than buildings that voted for 60% in last year’s budget</w:t>
      </w:r>
    </w:p>
    <w:sectPr w:rsidR="00D826DA" w:rsidRPr="00D8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A16"/>
    <w:multiLevelType w:val="hybridMultilevel"/>
    <w:tmpl w:val="E36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9B6"/>
    <w:multiLevelType w:val="hybridMultilevel"/>
    <w:tmpl w:val="E28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4151B"/>
    <w:multiLevelType w:val="hybridMultilevel"/>
    <w:tmpl w:val="9D26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E173D"/>
    <w:multiLevelType w:val="hybridMultilevel"/>
    <w:tmpl w:val="DA12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56724"/>
    <w:multiLevelType w:val="hybridMultilevel"/>
    <w:tmpl w:val="488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255162">
    <w:abstractNumId w:val="3"/>
  </w:num>
  <w:num w:numId="2" w16cid:durableId="1116413546">
    <w:abstractNumId w:val="4"/>
  </w:num>
  <w:num w:numId="3" w16cid:durableId="413287827">
    <w:abstractNumId w:val="2"/>
  </w:num>
  <w:num w:numId="4" w16cid:durableId="732242142">
    <w:abstractNumId w:val="1"/>
  </w:num>
  <w:num w:numId="5" w16cid:durableId="181915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B6"/>
    <w:rsid w:val="00000307"/>
    <w:rsid w:val="00003ED8"/>
    <w:rsid w:val="00021E55"/>
    <w:rsid w:val="0002634F"/>
    <w:rsid w:val="00032B3D"/>
    <w:rsid w:val="0003615A"/>
    <w:rsid w:val="00053097"/>
    <w:rsid w:val="000654B0"/>
    <w:rsid w:val="000A153E"/>
    <w:rsid w:val="000A6816"/>
    <w:rsid w:val="000B58DB"/>
    <w:rsid w:val="000C5133"/>
    <w:rsid w:val="000D0B81"/>
    <w:rsid w:val="000D2B96"/>
    <w:rsid w:val="000F0681"/>
    <w:rsid w:val="000F24E4"/>
    <w:rsid w:val="0010108E"/>
    <w:rsid w:val="00104E2D"/>
    <w:rsid w:val="001247C6"/>
    <w:rsid w:val="0014754D"/>
    <w:rsid w:val="00153C04"/>
    <w:rsid w:val="00161198"/>
    <w:rsid w:val="00162568"/>
    <w:rsid w:val="0016562F"/>
    <w:rsid w:val="0017147E"/>
    <w:rsid w:val="00177E12"/>
    <w:rsid w:val="00183404"/>
    <w:rsid w:val="00190240"/>
    <w:rsid w:val="00190FEA"/>
    <w:rsid w:val="00195C4F"/>
    <w:rsid w:val="001A15F1"/>
    <w:rsid w:val="001C00A2"/>
    <w:rsid w:val="001C2468"/>
    <w:rsid w:val="001C3CB6"/>
    <w:rsid w:val="001D0D1F"/>
    <w:rsid w:val="001D22A4"/>
    <w:rsid w:val="00211967"/>
    <w:rsid w:val="00221033"/>
    <w:rsid w:val="00230173"/>
    <w:rsid w:val="002413A2"/>
    <w:rsid w:val="00244239"/>
    <w:rsid w:val="00250735"/>
    <w:rsid w:val="00260D15"/>
    <w:rsid w:val="00261174"/>
    <w:rsid w:val="00263E9B"/>
    <w:rsid w:val="00271878"/>
    <w:rsid w:val="002761A8"/>
    <w:rsid w:val="00276E16"/>
    <w:rsid w:val="00284C57"/>
    <w:rsid w:val="002A2DC6"/>
    <w:rsid w:val="002A4377"/>
    <w:rsid w:val="002A64E4"/>
    <w:rsid w:val="002C20E9"/>
    <w:rsid w:val="002D40A8"/>
    <w:rsid w:val="002F5190"/>
    <w:rsid w:val="002F632A"/>
    <w:rsid w:val="002F76F1"/>
    <w:rsid w:val="00305366"/>
    <w:rsid w:val="003071A6"/>
    <w:rsid w:val="003149FA"/>
    <w:rsid w:val="00323186"/>
    <w:rsid w:val="003234E1"/>
    <w:rsid w:val="003278EE"/>
    <w:rsid w:val="003456F0"/>
    <w:rsid w:val="003530A8"/>
    <w:rsid w:val="00355421"/>
    <w:rsid w:val="00355CAB"/>
    <w:rsid w:val="003633F1"/>
    <w:rsid w:val="00375175"/>
    <w:rsid w:val="00386B76"/>
    <w:rsid w:val="00391A4D"/>
    <w:rsid w:val="003A037B"/>
    <w:rsid w:val="003A124B"/>
    <w:rsid w:val="003D0BCF"/>
    <w:rsid w:val="003D4B12"/>
    <w:rsid w:val="003D58CB"/>
    <w:rsid w:val="003E46E8"/>
    <w:rsid w:val="003E609A"/>
    <w:rsid w:val="003E60F8"/>
    <w:rsid w:val="004332D4"/>
    <w:rsid w:val="00435875"/>
    <w:rsid w:val="00456AB6"/>
    <w:rsid w:val="004641B2"/>
    <w:rsid w:val="00475DE9"/>
    <w:rsid w:val="00475FE3"/>
    <w:rsid w:val="00481A79"/>
    <w:rsid w:val="004A324C"/>
    <w:rsid w:val="004B2352"/>
    <w:rsid w:val="004B708E"/>
    <w:rsid w:val="004C3170"/>
    <w:rsid w:val="004D0FC1"/>
    <w:rsid w:val="004E3D4E"/>
    <w:rsid w:val="004E4F0D"/>
    <w:rsid w:val="004E7B0D"/>
    <w:rsid w:val="004F74A4"/>
    <w:rsid w:val="004F74B1"/>
    <w:rsid w:val="0050007D"/>
    <w:rsid w:val="005008E6"/>
    <w:rsid w:val="005062F9"/>
    <w:rsid w:val="00514F61"/>
    <w:rsid w:val="00523B88"/>
    <w:rsid w:val="00527419"/>
    <w:rsid w:val="00540966"/>
    <w:rsid w:val="005428C6"/>
    <w:rsid w:val="00545DB7"/>
    <w:rsid w:val="00547390"/>
    <w:rsid w:val="00564AAA"/>
    <w:rsid w:val="00566313"/>
    <w:rsid w:val="0056658A"/>
    <w:rsid w:val="005765D5"/>
    <w:rsid w:val="005809E7"/>
    <w:rsid w:val="00585780"/>
    <w:rsid w:val="00585D92"/>
    <w:rsid w:val="005953A4"/>
    <w:rsid w:val="005A3429"/>
    <w:rsid w:val="005A35BB"/>
    <w:rsid w:val="005A52F2"/>
    <w:rsid w:val="005C448D"/>
    <w:rsid w:val="005C44C6"/>
    <w:rsid w:val="005E604B"/>
    <w:rsid w:val="005F2993"/>
    <w:rsid w:val="005F70D8"/>
    <w:rsid w:val="00600AF5"/>
    <w:rsid w:val="00622F7A"/>
    <w:rsid w:val="006269D2"/>
    <w:rsid w:val="00630F63"/>
    <w:rsid w:val="00633354"/>
    <w:rsid w:val="00647F5F"/>
    <w:rsid w:val="006527FA"/>
    <w:rsid w:val="00652E59"/>
    <w:rsid w:val="00657284"/>
    <w:rsid w:val="006777ED"/>
    <w:rsid w:val="006841E1"/>
    <w:rsid w:val="0069199E"/>
    <w:rsid w:val="00693C5F"/>
    <w:rsid w:val="006964BE"/>
    <w:rsid w:val="006A1982"/>
    <w:rsid w:val="006A5732"/>
    <w:rsid w:val="006D0BA7"/>
    <w:rsid w:val="006D5AED"/>
    <w:rsid w:val="006E74B0"/>
    <w:rsid w:val="006E7860"/>
    <w:rsid w:val="006E7F1A"/>
    <w:rsid w:val="0072104D"/>
    <w:rsid w:val="0072578A"/>
    <w:rsid w:val="00757427"/>
    <w:rsid w:val="0077683F"/>
    <w:rsid w:val="00777D19"/>
    <w:rsid w:val="00780E15"/>
    <w:rsid w:val="007835F3"/>
    <w:rsid w:val="00793542"/>
    <w:rsid w:val="007A0034"/>
    <w:rsid w:val="007B29CD"/>
    <w:rsid w:val="007B3501"/>
    <w:rsid w:val="007B69C0"/>
    <w:rsid w:val="007D331A"/>
    <w:rsid w:val="007D3BD0"/>
    <w:rsid w:val="007D4B44"/>
    <w:rsid w:val="007E2ECF"/>
    <w:rsid w:val="007F21F8"/>
    <w:rsid w:val="007F5155"/>
    <w:rsid w:val="00800A80"/>
    <w:rsid w:val="00802378"/>
    <w:rsid w:val="008039DA"/>
    <w:rsid w:val="008041E4"/>
    <w:rsid w:val="00805611"/>
    <w:rsid w:val="008059D1"/>
    <w:rsid w:val="008069A5"/>
    <w:rsid w:val="00810D6D"/>
    <w:rsid w:val="0081499A"/>
    <w:rsid w:val="0083160E"/>
    <w:rsid w:val="00832521"/>
    <w:rsid w:val="008451D7"/>
    <w:rsid w:val="00852A49"/>
    <w:rsid w:val="0086012E"/>
    <w:rsid w:val="00863346"/>
    <w:rsid w:val="00863D2B"/>
    <w:rsid w:val="00870AD1"/>
    <w:rsid w:val="008742AF"/>
    <w:rsid w:val="008833AB"/>
    <w:rsid w:val="00883513"/>
    <w:rsid w:val="00883CB6"/>
    <w:rsid w:val="00895A70"/>
    <w:rsid w:val="00895D8C"/>
    <w:rsid w:val="008A7E3C"/>
    <w:rsid w:val="008B36CE"/>
    <w:rsid w:val="008C483B"/>
    <w:rsid w:val="008C69B5"/>
    <w:rsid w:val="008D1D9F"/>
    <w:rsid w:val="008D5AD5"/>
    <w:rsid w:val="008D73CE"/>
    <w:rsid w:val="008E3341"/>
    <w:rsid w:val="008E7B26"/>
    <w:rsid w:val="0092101C"/>
    <w:rsid w:val="00923D27"/>
    <w:rsid w:val="00926689"/>
    <w:rsid w:val="00937270"/>
    <w:rsid w:val="00937D1D"/>
    <w:rsid w:val="00944A8C"/>
    <w:rsid w:val="009471CF"/>
    <w:rsid w:val="00947C85"/>
    <w:rsid w:val="009649BD"/>
    <w:rsid w:val="00987032"/>
    <w:rsid w:val="009A2E67"/>
    <w:rsid w:val="009D2303"/>
    <w:rsid w:val="009D4F46"/>
    <w:rsid w:val="009E5FAC"/>
    <w:rsid w:val="009F5F85"/>
    <w:rsid w:val="009F7A2B"/>
    <w:rsid w:val="00A03B0B"/>
    <w:rsid w:val="00A0416E"/>
    <w:rsid w:val="00A1036D"/>
    <w:rsid w:val="00A153E1"/>
    <w:rsid w:val="00A15CED"/>
    <w:rsid w:val="00A16949"/>
    <w:rsid w:val="00A17C01"/>
    <w:rsid w:val="00A36846"/>
    <w:rsid w:val="00A526FC"/>
    <w:rsid w:val="00A52A66"/>
    <w:rsid w:val="00A621C4"/>
    <w:rsid w:val="00A63682"/>
    <w:rsid w:val="00A67E09"/>
    <w:rsid w:val="00A87AAC"/>
    <w:rsid w:val="00A9031B"/>
    <w:rsid w:val="00A958DF"/>
    <w:rsid w:val="00AA12DB"/>
    <w:rsid w:val="00AA2557"/>
    <w:rsid w:val="00AA7866"/>
    <w:rsid w:val="00AC37DD"/>
    <w:rsid w:val="00AC7E5D"/>
    <w:rsid w:val="00AE5158"/>
    <w:rsid w:val="00AE7B05"/>
    <w:rsid w:val="00B206A5"/>
    <w:rsid w:val="00B26832"/>
    <w:rsid w:val="00B26901"/>
    <w:rsid w:val="00B41EBE"/>
    <w:rsid w:val="00B6445D"/>
    <w:rsid w:val="00B8385B"/>
    <w:rsid w:val="00B914E3"/>
    <w:rsid w:val="00B91DC5"/>
    <w:rsid w:val="00B926FE"/>
    <w:rsid w:val="00B96920"/>
    <w:rsid w:val="00BA599D"/>
    <w:rsid w:val="00BA6C60"/>
    <w:rsid w:val="00BB2416"/>
    <w:rsid w:val="00BC3104"/>
    <w:rsid w:val="00BC4BAD"/>
    <w:rsid w:val="00BC5960"/>
    <w:rsid w:val="00BC72A0"/>
    <w:rsid w:val="00BD2D4F"/>
    <w:rsid w:val="00BE2A4A"/>
    <w:rsid w:val="00BE2DAF"/>
    <w:rsid w:val="00BF31C0"/>
    <w:rsid w:val="00BF726D"/>
    <w:rsid w:val="00C00BF7"/>
    <w:rsid w:val="00C1052F"/>
    <w:rsid w:val="00C11F1A"/>
    <w:rsid w:val="00C21B80"/>
    <w:rsid w:val="00C405D7"/>
    <w:rsid w:val="00C46589"/>
    <w:rsid w:val="00C46C0A"/>
    <w:rsid w:val="00C524F1"/>
    <w:rsid w:val="00C5358C"/>
    <w:rsid w:val="00C55E02"/>
    <w:rsid w:val="00C678B4"/>
    <w:rsid w:val="00C806A5"/>
    <w:rsid w:val="00C80DFA"/>
    <w:rsid w:val="00C81497"/>
    <w:rsid w:val="00C82363"/>
    <w:rsid w:val="00C83BCC"/>
    <w:rsid w:val="00CA370D"/>
    <w:rsid w:val="00CB7CDB"/>
    <w:rsid w:val="00CE21B3"/>
    <w:rsid w:val="00CE2FC2"/>
    <w:rsid w:val="00CE6097"/>
    <w:rsid w:val="00CE7421"/>
    <w:rsid w:val="00CE7FE1"/>
    <w:rsid w:val="00CF3EA6"/>
    <w:rsid w:val="00D15F5C"/>
    <w:rsid w:val="00D177DB"/>
    <w:rsid w:val="00D2370E"/>
    <w:rsid w:val="00D36558"/>
    <w:rsid w:val="00D376DB"/>
    <w:rsid w:val="00D379EA"/>
    <w:rsid w:val="00D43CAA"/>
    <w:rsid w:val="00D54ACD"/>
    <w:rsid w:val="00D55E6E"/>
    <w:rsid w:val="00D60ADC"/>
    <w:rsid w:val="00D62540"/>
    <w:rsid w:val="00D7781D"/>
    <w:rsid w:val="00D826DA"/>
    <w:rsid w:val="00D84233"/>
    <w:rsid w:val="00D957B7"/>
    <w:rsid w:val="00D97C6F"/>
    <w:rsid w:val="00DB1BA7"/>
    <w:rsid w:val="00DD0D86"/>
    <w:rsid w:val="00DD1C4A"/>
    <w:rsid w:val="00DD5AD5"/>
    <w:rsid w:val="00DE0598"/>
    <w:rsid w:val="00DE2154"/>
    <w:rsid w:val="00DF00CC"/>
    <w:rsid w:val="00DF72E8"/>
    <w:rsid w:val="00E025FD"/>
    <w:rsid w:val="00E042DB"/>
    <w:rsid w:val="00E248CD"/>
    <w:rsid w:val="00E27D50"/>
    <w:rsid w:val="00E319E9"/>
    <w:rsid w:val="00E31E8F"/>
    <w:rsid w:val="00E34CF9"/>
    <w:rsid w:val="00E455B0"/>
    <w:rsid w:val="00E45AAC"/>
    <w:rsid w:val="00E50602"/>
    <w:rsid w:val="00E61CAF"/>
    <w:rsid w:val="00E732AF"/>
    <w:rsid w:val="00E752F6"/>
    <w:rsid w:val="00E77192"/>
    <w:rsid w:val="00E82616"/>
    <w:rsid w:val="00E83FC1"/>
    <w:rsid w:val="00E900F8"/>
    <w:rsid w:val="00E90B12"/>
    <w:rsid w:val="00EA09C7"/>
    <w:rsid w:val="00EA2355"/>
    <w:rsid w:val="00EA5CAF"/>
    <w:rsid w:val="00EB34B6"/>
    <w:rsid w:val="00EC55BF"/>
    <w:rsid w:val="00EC641B"/>
    <w:rsid w:val="00EF0095"/>
    <w:rsid w:val="00EF21AE"/>
    <w:rsid w:val="00EF6CD2"/>
    <w:rsid w:val="00F052BB"/>
    <w:rsid w:val="00F07CE4"/>
    <w:rsid w:val="00F10A18"/>
    <w:rsid w:val="00F14120"/>
    <w:rsid w:val="00F20100"/>
    <w:rsid w:val="00F2584E"/>
    <w:rsid w:val="00F31A87"/>
    <w:rsid w:val="00F3254B"/>
    <w:rsid w:val="00F41F60"/>
    <w:rsid w:val="00F54A92"/>
    <w:rsid w:val="00F57361"/>
    <w:rsid w:val="00F609A0"/>
    <w:rsid w:val="00F65832"/>
    <w:rsid w:val="00F65E97"/>
    <w:rsid w:val="00F77D16"/>
    <w:rsid w:val="00F8564B"/>
    <w:rsid w:val="00F85D5F"/>
    <w:rsid w:val="00FA38B5"/>
    <w:rsid w:val="00FC34DB"/>
    <w:rsid w:val="00FD5B72"/>
    <w:rsid w:val="00FD72A3"/>
    <w:rsid w:val="00FE3CFE"/>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1218"/>
  <w15:chartTrackingRefBased/>
  <w15:docId w15:val="{90EE8F5B-38E0-4B4C-89F9-333E5EC5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19"/>
  </w:style>
  <w:style w:type="paragraph" w:styleId="Heading1">
    <w:name w:val="heading 1"/>
    <w:basedOn w:val="Normal"/>
    <w:next w:val="Normal"/>
    <w:link w:val="Heading1Char"/>
    <w:uiPriority w:val="9"/>
    <w:qFormat/>
    <w:rsid w:val="00EB34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34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34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34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34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34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34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34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34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4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34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34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34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34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34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34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34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34B6"/>
    <w:rPr>
      <w:rFonts w:eastAsiaTheme="majorEastAsia" w:cstheme="majorBidi"/>
      <w:color w:val="272727" w:themeColor="text1" w:themeTint="D8"/>
    </w:rPr>
  </w:style>
  <w:style w:type="paragraph" w:styleId="Title">
    <w:name w:val="Title"/>
    <w:basedOn w:val="Normal"/>
    <w:next w:val="Normal"/>
    <w:link w:val="TitleChar"/>
    <w:uiPriority w:val="10"/>
    <w:qFormat/>
    <w:rsid w:val="00EB34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4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34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34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34B6"/>
    <w:pPr>
      <w:spacing w:before="160"/>
      <w:jc w:val="center"/>
    </w:pPr>
    <w:rPr>
      <w:i/>
      <w:iCs/>
      <w:color w:val="404040" w:themeColor="text1" w:themeTint="BF"/>
    </w:rPr>
  </w:style>
  <w:style w:type="character" w:customStyle="1" w:styleId="QuoteChar">
    <w:name w:val="Quote Char"/>
    <w:basedOn w:val="DefaultParagraphFont"/>
    <w:link w:val="Quote"/>
    <w:uiPriority w:val="29"/>
    <w:rsid w:val="00EB34B6"/>
    <w:rPr>
      <w:i/>
      <w:iCs/>
      <w:color w:val="404040" w:themeColor="text1" w:themeTint="BF"/>
    </w:rPr>
  </w:style>
  <w:style w:type="paragraph" w:styleId="ListParagraph">
    <w:name w:val="List Paragraph"/>
    <w:basedOn w:val="Normal"/>
    <w:uiPriority w:val="34"/>
    <w:qFormat/>
    <w:rsid w:val="00EB34B6"/>
    <w:pPr>
      <w:ind w:left="720"/>
      <w:contextualSpacing/>
    </w:pPr>
  </w:style>
  <w:style w:type="character" w:styleId="IntenseEmphasis">
    <w:name w:val="Intense Emphasis"/>
    <w:basedOn w:val="DefaultParagraphFont"/>
    <w:uiPriority w:val="21"/>
    <w:qFormat/>
    <w:rsid w:val="00EB34B6"/>
    <w:rPr>
      <w:i/>
      <w:iCs/>
      <w:color w:val="0F4761" w:themeColor="accent1" w:themeShade="BF"/>
    </w:rPr>
  </w:style>
  <w:style w:type="paragraph" w:styleId="IntenseQuote">
    <w:name w:val="Intense Quote"/>
    <w:basedOn w:val="Normal"/>
    <w:next w:val="Normal"/>
    <w:link w:val="IntenseQuoteChar"/>
    <w:uiPriority w:val="30"/>
    <w:qFormat/>
    <w:rsid w:val="00EB34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34B6"/>
    <w:rPr>
      <w:i/>
      <w:iCs/>
      <w:color w:val="0F4761" w:themeColor="accent1" w:themeShade="BF"/>
    </w:rPr>
  </w:style>
  <w:style w:type="character" w:styleId="IntenseReference">
    <w:name w:val="Intense Reference"/>
    <w:basedOn w:val="DefaultParagraphFont"/>
    <w:uiPriority w:val="32"/>
    <w:qFormat/>
    <w:rsid w:val="00EB34B6"/>
    <w:rPr>
      <w:b/>
      <w:bCs/>
      <w:smallCaps/>
      <w:color w:val="0F4761" w:themeColor="accent1" w:themeShade="BF"/>
      <w:spacing w:val="5"/>
    </w:rPr>
  </w:style>
  <w:style w:type="paragraph" w:styleId="Revision">
    <w:name w:val="Revision"/>
    <w:hidden/>
    <w:uiPriority w:val="99"/>
    <w:semiHidden/>
    <w:rsid w:val="00923D27"/>
    <w:pPr>
      <w:spacing w:after="0" w:line="240" w:lineRule="auto"/>
    </w:pPr>
  </w:style>
  <w:style w:type="character" w:styleId="CommentReference">
    <w:name w:val="annotation reference"/>
    <w:basedOn w:val="DefaultParagraphFont"/>
    <w:uiPriority w:val="99"/>
    <w:semiHidden/>
    <w:unhideWhenUsed/>
    <w:rsid w:val="006964BE"/>
    <w:rPr>
      <w:sz w:val="16"/>
      <w:szCs w:val="16"/>
    </w:rPr>
  </w:style>
  <w:style w:type="paragraph" w:styleId="CommentText">
    <w:name w:val="annotation text"/>
    <w:basedOn w:val="Normal"/>
    <w:link w:val="CommentTextChar"/>
    <w:uiPriority w:val="99"/>
    <w:semiHidden/>
    <w:unhideWhenUsed/>
    <w:rsid w:val="006964BE"/>
    <w:pPr>
      <w:spacing w:line="240" w:lineRule="auto"/>
    </w:pPr>
    <w:rPr>
      <w:sz w:val="20"/>
      <w:szCs w:val="20"/>
    </w:rPr>
  </w:style>
  <w:style w:type="character" w:customStyle="1" w:styleId="CommentTextChar">
    <w:name w:val="Comment Text Char"/>
    <w:basedOn w:val="DefaultParagraphFont"/>
    <w:link w:val="CommentText"/>
    <w:uiPriority w:val="99"/>
    <w:semiHidden/>
    <w:rsid w:val="006964BE"/>
    <w:rPr>
      <w:sz w:val="20"/>
      <w:szCs w:val="20"/>
    </w:rPr>
  </w:style>
  <w:style w:type="paragraph" w:styleId="CommentSubject">
    <w:name w:val="annotation subject"/>
    <w:basedOn w:val="CommentText"/>
    <w:next w:val="CommentText"/>
    <w:link w:val="CommentSubjectChar"/>
    <w:uiPriority w:val="99"/>
    <w:semiHidden/>
    <w:unhideWhenUsed/>
    <w:rsid w:val="006964BE"/>
    <w:rPr>
      <w:b/>
      <w:bCs/>
    </w:rPr>
  </w:style>
  <w:style w:type="character" w:customStyle="1" w:styleId="CommentSubjectChar">
    <w:name w:val="Comment Subject Char"/>
    <w:basedOn w:val="CommentTextChar"/>
    <w:link w:val="CommentSubject"/>
    <w:uiPriority w:val="99"/>
    <w:semiHidden/>
    <w:rsid w:val="00696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8b1caf335b1beb5/bureau/Voyages%20floride/LCG/Finance%20cttee/FYE24%20Assessments%20v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8b1caf335b1beb5/bureau/Voyages%20floride/LCG/Finance%20cttee/FYE24%20Assessments%20v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 Reserve shortfall - average payment in a single lump sum </a:t>
            </a:r>
          </a:p>
        </c:rich>
      </c:tx>
      <c:overlay val="0"/>
      <c:spPr>
        <a:solidFill>
          <a:schemeClr val="bg1"/>
        </a:solid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356947754398258"/>
          <c:y val="2.9550978086676567E-2"/>
          <c:w val="0.88643052245601739"/>
          <c:h val="0.88833544257166996"/>
        </c:manualLayout>
      </c:layout>
      <c:barChart>
        <c:barDir val="col"/>
        <c:grouping val="clustered"/>
        <c:varyColors val="0"/>
        <c:ser>
          <c:idx val="0"/>
          <c:order val="0"/>
          <c:spPr>
            <a:solidFill>
              <a:schemeClr val="accent2"/>
            </a:solidFill>
            <a:ln>
              <a:noFill/>
            </a:ln>
            <a:effectLst/>
          </c:spPr>
          <c:invertIfNegative val="0"/>
          <c:cat>
            <c:strRef>
              <c:f>'[FYE24 Assessments v11.xlsx]Buildings'!$A$5:$A$28</c:f>
              <c:strCache>
                <c:ptCount val="24"/>
                <c:pt idx="0">
                  <c:v>2 </c:v>
                </c:pt>
                <c:pt idx="1">
                  <c:v>3 </c:v>
                </c:pt>
                <c:pt idx="2">
                  <c:v>4 </c:v>
                </c:pt>
                <c:pt idx="3">
                  <c:v>5 </c:v>
                </c:pt>
                <c:pt idx="4">
                  <c:v>6 </c:v>
                </c:pt>
                <c:pt idx="5">
                  <c:v>7 </c:v>
                </c:pt>
                <c:pt idx="6">
                  <c:v>8 </c:v>
                </c:pt>
                <c:pt idx="7">
                  <c:v>9 </c:v>
                </c:pt>
                <c:pt idx="8">
                  <c:v>10 </c:v>
                </c:pt>
                <c:pt idx="9">
                  <c:v>12 </c:v>
                </c:pt>
                <c:pt idx="10">
                  <c:v>14 </c:v>
                </c:pt>
                <c:pt idx="11">
                  <c:v>15 </c:v>
                </c:pt>
                <c:pt idx="12">
                  <c:v>16 </c:v>
                </c:pt>
                <c:pt idx="13">
                  <c:v>17 </c:v>
                </c:pt>
                <c:pt idx="14">
                  <c:v>18 </c:v>
                </c:pt>
                <c:pt idx="15">
                  <c:v>19 </c:v>
                </c:pt>
                <c:pt idx="16">
                  <c:v>21 </c:v>
                </c:pt>
                <c:pt idx="17">
                  <c:v>22 </c:v>
                </c:pt>
                <c:pt idx="18">
                  <c:v>23 </c:v>
                </c:pt>
                <c:pt idx="19">
                  <c:v>24 </c:v>
                </c:pt>
                <c:pt idx="20">
                  <c:v>25 </c:v>
                </c:pt>
                <c:pt idx="21">
                  <c:v>26 </c:v>
                </c:pt>
                <c:pt idx="22">
                  <c:v>20a</c:v>
                </c:pt>
                <c:pt idx="23">
                  <c:v>20b</c:v>
                </c:pt>
              </c:strCache>
            </c:strRef>
          </c:cat>
          <c:val>
            <c:numRef>
              <c:f>'[FYE24 Assessments v11.xlsx]Buildings'!$GD$5:$GD$28</c:f>
              <c:numCache>
                <c:formatCode>_(* #,##0_);_(* \(#,##0\);_(* "-"??_);_(@_)</c:formatCode>
                <c:ptCount val="24"/>
                <c:pt idx="0">
                  <c:v>10986.762898839605</c:v>
                </c:pt>
                <c:pt idx="1">
                  <c:v>12018.377813788204</c:v>
                </c:pt>
                <c:pt idx="2">
                  <c:v>11721.952813788206</c:v>
                </c:pt>
                <c:pt idx="3">
                  <c:v>9450.5985620701395</c:v>
                </c:pt>
                <c:pt idx="4">
                  <c:v>11064.728562070139</c:v>
                </c:pt>
                <c:pt idx="5">
                  <c:v>9216.6507906858242</c:v>
                </c:pt>
                <c:pt idx="6">
                  <c:v>12070.63206550627</c:v>
                </c:pt>
                <c:pt idx="7">
                  <c:v>12261.809501264142</c:v>
                </c:pt>
                <c:pt idx="8">
                  <c:v>10738.78437277989</c:v>
                </c:pt>
                <c:pt idx="9">
                  <c:v>9464.5855724677931</c:v>
                </c:pt>
                <c:pt idx="10">
                  <c:v>12264.771867495376</c:v>
                </c:pt>
                <c:pt idx="11">
                  <c:v>11659.057386716904</c:v>
                </c:pt>
                <c:pt idx="12">
                  <c:v>10126.838006514585</c:v>
                </c:pt>
                <c:pt idx="13">
                  <c:v>8887.5718954034746</c:v>
                </c:pt>
                <c:pt idx="14">
                  <c:v>9668.0302287368067</c:v>
                </c:pt>
                <c:pt idx="15">
                  <c:v>9770.7443954034734</c:v>
                </c:pt>
                <c:pt idx="16">
                  <c:v>10006.922728736805</c:v>
                </c:pt>
                <c:pt idx="17">
                  <c:v>9328.4708693437587</c:v>
                </c:pt>
                <c:pt idx="18">
                  <c:v>9892.448455302314</c:v>
                </c:pt>
                <c:pt idx="19">
                  <c:v>10021.530015201155</c:v>
                </c:pt>
                <c:pt idx="20">
                  <c:v>8464.3502287368083</c:v>
                </c:pt>
                <c:pt idx="21">
                  <c:v>9075.9471731812519</c:v>
                </c:pt>
                <c:pt idx="22">
                  <c:v>8860.1288268826866</c:v>
                </c:pt>
                <c:pt idx="23">
                  <c:v>10913.005488040639</c:v>
                </c:pt>
              </c:numCache>
            </c:numRef>
          </c:val>
          <c:extLst>
            <c:ext xmlns:c15="http://schemas.microsoft.com/office/drawing/2012/chart" uri="{02D57815-91ED-43cb-92C2-25804820EDAC}">
              <c15:filteredSeriesTitle>
                <c15:tx>
                  <c:strRef>
                    <c:extLst>
                      <c:ext uri="{02D57815-91ED-43cb-92C2-25804820EDAC}">
                        <c15:formulaRef>
                          <c15:sqref>'chart data'!#REF!</c15:sqref>
                        </c15:formulaRef>
                      </c:ext>
                    </c:extLst>
                    <c:strCache>
                      <c:ptCount val="1"/>
                      <c:pt idx="0">
                        <c:v>#REF!</c:v>
                      </c:pt>
                    </c:strCache>
                  </c:strRef>
                </c15:tx>
              </c15:filteredSeriesTitle>
            </c:ext>
            <c:ext xmlns:c16="http://schemas.microsoft.com/office/drawing/2014/chart" uri="{C3380CC4-5D6E-409C-BE32-E72D297353CC}">
              <c16:uniqueId val="{00000000-94E3-4E0C-9F6F-7D9C46A09B4B}"/>
            </c:ext>
          </c:extLst>
        </c:ser>
        <c:dLbls>
          <c:showLegendKey val="0"/>
          <c:showVal val="0"/>
          <c:showCatName val="0"/>
          <c:showSerName val="0"/>
          <c:showPercent val="0"/>
          <c:showBubbleSize val="0"/>
        </c:dLbls>
        <c:gapWidth val="200"/>
        <c:axId val="1656618480"/>
        <c:axId val="1656619920"/>
      </c:barChart>
      <c:catAx>
        <c:axId val="165661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56619920"/>
        <c:crosses val="autoZero"/>
        <c:auto val="1"/>
        <c:lblAlgn val="ctr"/>
        <c:lblOffset val="100"/>
        <c:noMultiLvlLbl val="0"/>
      </c:catAx>
      <c:valAx>
        <c:axId val="16566199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5661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Average monthly assessment for Reserve expenses </a:t>
            </a:r>
          </a:p>
        </c:rich>
      </c:tx>
      <c:overlay val="0"/>
      <c:spPr>
        <a:solidFill>
          <a:schemeClr val="bg1"/>
        </a:solid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86574519400095E-2"/>
          <c:y val="2.4670370842449364E-2"/>
          <c:w val="0.91113425480599908"/>
          <c:h val="0.88443506227225832"/>
        </c:manualLayout>
      </c:layout>
      <c:barChart>
        <c:barDir val="col"/>
        <c:grouping val="clustered"/>
        <c:varyColors val="0"/>
        <c:ser>
          <c:idx val="1"/>
          <c:order val="0"/>
          <c:tx>
            <c:strRef>
              <c:f>'[FYE24 Assessments v11.xlsx]Buildings'!$GE$4</c:f>
              <c:strCache>
                <c:ptCount val="1"/>
                <c:pt idx="0">
                  <c:v>FY24</c:v>
                </c:pt>
              </c:strCache>
            </c:strRef>
          </c:tx>
          <c:spPr>
            <a:solidFill>
              <a:schemeClr val="accent2"/>
            </a:solidFill>
            <a:ln>
              <a:noFill/>
            </a:ln>
            <a:effectLst/>
          </c:spPr>
          <c:invertIfNegative val="0"/>
          <c:cat>
            <c:strRef>
              <c:f>'[FYE24 Assessments v11.xlsx]Buildings'!$A$5:$A$28</c:f>
              <c:strCache>
                <c:ptCount val="24"/>
                <c:pt idx="0">
                  <c:v>2 </c:v>
                </c:pt>
                <c:pt idx="1">
                  <c:v>3 </c:v>
                </c:pt>
                <c:pt idx="2">
                  <c:v>4 </c:v>
                </c:pt>
                <c:pt idx="3">
                  <c:v>5 </c:v>
                </c:pt>
                <c:pt idx="4">
                  <c:v>6 </c:v>
                </c:pt>
                <c:pt idx="5">
                  <c:v>7 </c:v>
                </c:pt>
                <c:pt idx="6">
                  <c:v>8 </c:v>
                </c:pt>
                <c:pt idx="7">
                  <c:v>9 </c:v>
                </c:pt>
                <c:pt idx="8">
                  <c:v>10 </c:v>
                </c:pt>
                <c:pt idx="9">
                  <c:v>12 </c:v>
                </c:pt>
                <c:pt idx="10">
                  <c:v>14 </c:v>
                </c:pt>
                <c:pt idx="11">
                  <c:v>15 </c:v>
                </c:pt>
                <c:pt idx="12">
                  <c:v>16 </c:v>
                </c:pt>
                <c:pt idx="13">
                  <c:v>17 </c:v>
                </c:pt>
                <c:pt idx="14">
                  <c:v>18 </c:v>
                </c:pt>
                <c:pt idx="15">
                  <c:v>19 </c:v>
                </c:pt>
                <c:pt idx="16">
                  <c:v>21 </c:v>
                </c:pt>
                <c:pt idx="17">
                  <c:v>22 </c:v>
                </c:pt>
                <c:pt idx="18">
                  <c:v>23 </c:v>
                </c:pt>
                <c:pt idx="19">
                  <c:v>24 </c:v>
                </c:pt>
                <c:pt idx="20">
                  <c:v>25 </c:v>
                </c:pt>
                <c:pt idx="21">
                  <c:v>26 </c:v>
                </c:pt>
                <c:pt idx="22">
                  <c:v>20a</c:v>
                </c:pt>
                <c:pt idx="23">
                  <c:v>20b</c:v>
                </c:pt>
              </c:strCache>
            </c:strRef>
          </c:cat>
          <c:val>
            <c:numRef>
              <c:f>'[FYE24 Assessments v11.xlsx]Buildings'!$GE$5:$GE$28</c:f>
              <c:numCache>
                <c:formatCode>_(* #,##0_);_(* \(#,##0\);_(* "-"??_);_(@_)</c:formatCode>
                <c:ptCount val="24"/>
                <c:pt idx="0">
                  <c:v>283.58136574074075</c:v>
                </c:pt>
                <c:pt idx="1">
                  <c:v>183.05497685185185</c:v>
                </c:pt>
                <c:pt idx="2">
                  <c:v>170.04803240740742</c:v>
                </c:pt>
                <c:pt idx="3">
                  <c:v>375.2743055555556</c:v>
                </c:pt>
                <c:pt idx="4">
                  <c:v>166.23078703703703</c:v>
                </c:pt>
                <c:pt idx="5">
                  <c:v>425.00958333333341</c:v>
                </c:pt>
                <c:pt idx="6">
                  <c:v>211.58750000000001</c:v>
                </c:pt>
                <c:pt idx="7">
                  <c:v>178.14884259259259</c:v>
                </c:pt>
                <c:pt idx="8">
                  <c:v>294.62326388888886</c:v>
                </c:pt>
                <c:pt idx="9">
                  <c:v>511.27877604166662</c:v>
                </c:pt>
                <c:pt idx="10">
                  <c:v>72.551175213675208</c:v>
                </c:pt>
                <c:pt idx="11">
                  <c:v>165.32962962962964</c:v>
                </c:pt>
                <c:pt idx="12">
                  <c:v>253.6627314814815</c:v>
                </c:pt>
                <c:pt idx="13">
                  <c:v>343.75347222222223</c:v>
                </c:pt>
                <c:pt idx="14">
                  <c:v>209.15625</c:v>
                </c:pt>
                <c:pt idx="15">
                  <c:v>99.880787037037024</c:v>
                </c:pt>
                <c:pt idx="16">
                  <c:v>140.7238425925926</c:v>
                </c:pt>
                <c:pt idx="17">
                  <c:v>189.8119212962963</c:v>
                </c:pt>
                <c:pt idx="18">
                  <c:v>132.2869212962963</c:v>
                </c:pt>
                <c:pt idx="19">
                  <c:v>223.68148148148146</c:v>
                </c:pt>
                <c:pt idx="20">
                  <c:v>375.86458333333331</c:v>
                </c:pt>
                <c:pt idx="21">
                  <c:v>364.02893518518522</c:v>
                </c:pt>
                <c:pt idx="22">
                  <c:v>80.652083333333337</c:v>
                </c:pt>
                <c:pt idx="23">
                  <c:v>173.40920138888887</c:v>
                </c:pt>
              </c:numCache>
            </c:numRef>
          </c:val>
          <c:extLst>
            <c:ext xmlns:c16="http://schemas.microsoft.com/office/drawing/2014/chart" uri="{C3380CC4-5D6E-409C-BE32-E72D297353CC}">
              <c16:uniqueId val="{00000000-8B92-4A95-96DA-C5D3CEB53BA3}"/>
            </c:ext>
          </c:extLst>
        </c:ser>
        <c:ser>
          <c:idx val="2"/>
          <c:order val="1"/>
          <c:tx>
            <c:strRef>
              <c:f>'[FYE24 Assessments v11.xlsx]Buildings'!$GF$4</c:f>
              <c:strCache>
                <c:ptCount val="1"/>
                <c:pt idx="0">
                  <c:v>FY25</c:v>
                </c:pt>
              </c:strCache>
            </c:strRef>
          </c:tx>
          <c:spPr>
            <a:solidFill>
              <a:schemeClr val="accent3"/>
            </a:solidFill>
            <a:ln>
              <a:noFill/>
            </a:ln>
            <a:effectLst/>
          </c:spPr>
          <c:invertIfNegative val="0"/>
          <c:cat>
            <c:strRef>
              <c:f>'[FYE24 Assessments v11.xlsx]Buildings'!$A$5:$A$28</c:f>
              <c:strCache>
                <c:ptCount val="24"/>
                <c:pt idx="0">
                  <c:v>2 </c:v>
                </c:pt>
                <c:pt idx="1">
                  <c:v>3 </c:v>
                </c:pt>
                <c:pt idx="2">
                  <c:v>4 </c:v>
                </c:pt>
                <c:pt idx="3">
                  <c:v>5 </c:v>
                </c:pt>
                <c:pt idx="4">
                  <c:v>6 </c:v>
                </c:pt>
                <c:pt idx="5">
                  <c:v>7 </c:v>
                </c:pt>
                <c:pt idx="6">
                  <c:v>8 </c:v>
                </c:pt>
                <c:pt idx="7">
                  <c:v>9 </c:v>
                </c:pt>
                <c:pt idx="8">
                  <c:v>10 </c:v>
                </c:pt>
                <c:pt idx="9">
                  <c:v>12 </c:v>
                </c:pt>
                <c:pt idx="10">
                  <c:v>14 </c:v>
                </c:pt>
                <c:pt idx="11">
                  <c:v>15 </c:v>
                </c:pt>
                <c:pt idx="12">
                  <c:v>16 </c:v>
                </c:pt>
                <c:pt idx="13">
                  <c:v>17 </c:v>
                </c:pt>
                <c:pt idx="14">
                  <c:v>18 </c:v>
                </c:pt>
                <c:pt idx="15">
                  <c:v>19 </c:v>
                </c:pt>
                <c:pt idx="16">
                  <c:v>21 </c:v>
                </c:pt>
                <c:pt idx="17">
                  <c:v>22 </c:v>
                </c:pt>
                <c:pt idx="18">
                  <c:v>23 </c:v>
                </c:pt>
                <c:pt idx="19">
                  <c:v>24 </c:v>
                </c:pt>
                <c:pt idx="20">
                  <c:v>25 </c:v>
                </c:pt>
                <c:pt idx="21">
                  <c:v>26 </c:v>
                </c:pt>
                <c:pt idx="22">
                  <c:v>20a</c:v>
                </c:pt>
                <c:pt idx="23">
                  <c:v>20b</c:v>
                </c:pt>
              </c:strCache>
            </c:strRef>
          </c:cat>
          <c:val>
            <c:numRef>
              <c:f>'[FYE24 Assessments v11.xlsx]Buildings'!$GF$5:$GF$28</c:f>
              <c:numCache>
                <c:formatCode>_(* #,##0_);_(* \(#,##0\);_(* "-"??_);_(@_)</c:formatCode>
                <c:ptCount val="24"/>
                <c:pt idx="0">
                  <c:v>433.39487268045042</c:v>
                </c:pt>
                <c:pt idx="1">
                  <c:v>465.95591762117652</c:v>
                </c:pt>
                <c:pt idx="2">
                  <c:v>453.86386567001909</c:v>
                </c:pt>
                <c:pt idx="3">
                  <c:v>380.01533569322214</c:v>
                </c:pt>
                <c:pt idx="4">
                  <c:v>435.65472604146294</c:v>
                </c:pt>
                <c:pt idx="5">
                  <c:v>369.80676981213213</c:v>
                </c:pt>
                <c:pt idx="6">
                  <c:v>467.36035183223277</c:v>
                </c:pt>
                <c:pt idx="7">
                  <c:v>468.79710799774693</c:v>
                </c:pt>
                <c:pt idx="8">
                  <c:v>426.45951584858994</c:v>
                </c:pt>
                <c:pt idx="9">
                  <c:v>379.94805037121523</c:v>
                </c:pt>
                <c:pt idx="10">
                  <c:v>493.91300719779042</c:v>
                </c:pt>
                <c:pt idx="11">
                  <c:v>452.14815310709281</c:v>
                </c:pt>
                <c:pt idx="12">
                  <c:v>408.05902369891663</c:v>
                </c:pt>
                <c:pt idx="13">
                  <c:v>356.65965688840737</c:v>
                </c:pt>
                <c:pt idx="14">
                  <c:v>389.14152409789813</c:v>
                </c:pt>
                <c:pt idx="15">
                  <c:v>393.1521022632453</c:v>
                </c:pt>
                <c:pt idx="16">
                  <c:v>403.18483412866198</c:v>
                </c:pt>
                <c:pt idx="17">
                  <c:v>375.41842212476445</c:v>
                </c:pt>
                <c:pt idx="18">
                  <c:v>398.46962863840491</c:v>
                </c:pt>
                <c:pt idx="19">
                  <c:v>403.60628212344881</c:v>
                </c:pt>
                <c:pt idx="20">
                  <c:v>338.73065938530556</c:v>
                </c:pt>
                <c:pt idx="21">
                  <c:v>364.2071177051435</c:v>
                </c:pt>
                <c:pt idx="22">
                  <c:v>355.55793704947376</c:v>
                </c:pt>
                <c:pt idx="23">
                  <c:v>428.58375004833039</c:v>
                </c:pt>
              </c:numCache>
            </c:numRef>
          </c:val>
          <c:extLst>
            <c:ext xmlns:c16="http://schemas.microsoft.com/office/drawing/2014/chart" uri="{C3380CC4-5D6E-409C-BE32-E72D297353CC}">
              <c16:uniqueId val="{00000001-8B92-4A95-96DA-C5D3CEB53BA3}"/>
            </c:ext>
          </c:extLst>
        </c:ser>
        <c:dLbls>
          <c:showLegendKey val="0"/>
          <c:showVal val="0"/>
          <c:showCatName val="0"/>
          <c:showSerName val="0"/>
          <c:showPercent val="0"/>
          <c:showBubbleSize val="0"/>
        </c:dLbls>
        <c:gapWidth val="200"/>
        <c:axId val="1499424976"/>
        <c:axId val="1499412976"/>
      </c:barChart>
      <c:catAx>
        <c:axId val="1499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99412976"/>
        <c:crosses val="autoZero"/>
        <c:auto val="1"/>
        <c:lblAlgn val="ctr"/>
        <c:lblOffset val="100"/>
        <c:noMultiLvlLbl val="0"/>
      </c:catAx>
      <c:valAx>
        <c:axId val="14994129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99424976"/>
        <c:crosses val="autoZero"/>
        <c:crossBetween val="between"/>
      </c:valAx>
      <c:spPr>
        <a:noFill/>
        <a:ln w="25400">
          <a:noFill/>
        </a:ln>
        <a:effectLst/>
      </c:spPr>
    </c:plotArea>
    <c:legend>
      <c:legendPos val="b"/>
      <c:layout>
        <c:manualLayout>
          <c:xMode val="edge"/>
          <c:yMode val="edge"/>
          <c:x val="0.41183322313198317"/>
          <c:y val="7.3034227265298901E-2"/>
          <c:w val="0.18351071741032371"/>
          <c:h val="7.812554680664918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HOLDER</dc:creator>
  <cp:keywords/>
  <dc:description/>
  <cp:lastModifiedBy>Iris Rosario</cp:lastModifiedBy>
  <cp:revision>2</cp:revision>
  <dcterms:created xsi:type="dcterms:W3CDTF">2024-04-10T19:20:00Z</dcterms:created>
  <dcterms:modified xsi:type="dcterms:W3CDTF">2024-04-10T19:20:00Z</dcterms:modified>
</cp:coreProperties>
</file>